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00"/>
        <w:jc w:val="center"/>
      </w:pPr>
      <w:r>
        <w:rPr>
          <w:rFonts w:ascii="Arial" w:hAnsi="Arial"/>
          <w:b/>
          <w:color w:val="17365D"/>
          <w:sz w:val="32"/>
        </w:rPr>
        <w:t>WATER QUALITY TESTING &amp; TANKER-DELIVERY COMPLIANCE GUIDE</w:t>
      </w:r>
    </w:p>
    <w:p>
      <w:pPr>
        <w:jc w:val="center"/>
      </w:pPr>
      <w:r>
        <w:rPr>
          <w:rFonts w:ascii="Arial" w:hAnsi="Arial"/>
          <w:i/>
          <w:color w:val="404040"/>
          <w:sz w:val="19"/>
        </w:rPr>
        <w:t>Remote camp kitchens and catered worker accommodation — UAE operational framework</w:t>
      </w:r>
    </w:p>
    <w:tbl>
      <w:tblPr>
        <w:tblStyle w:val="TableGrid"/>
        <w:tblW w:type="auto" w:w="0"/>
        <w:tblLook w:firstColumn="1" w:firstRow="1" w:lastColumn="0" w:lastRow="0" w:noHBand="0" w:noVBand="1" w:val="04A0"/>
      </w:tblPr>
      <w:tblGrid>
        <w:gridCol w:w="2642"/>
        <w:gridCol w:w="2642"/>
        <w:gridCol w:w="2642"/>
        <w:gridCol w:w="2642"/>
      </w:tblGrid>
      <w:tr>
        <w:tc>
          <w:tcPr>
            <w:tcW w:type="dxa" w:w="2642"/>
            <w:shd w:fill="DDEBF7"/>
            <w:vAlign w:val="center"/>
          </w:tcPr>
          <w:p>
            <w:r/>
            <w:r>
              <w:rPr>
                <w:rFonts w:ascii="Arial" w:hAnsi="Arial"/>
                <w:b/>
                <w:color w:val="17365D"/>
                <w:sz w:val="14"/>
              </w:rPr>
              <w:t>Purpose</w:t>
            </w:r>
          </w:p>
        </w:tc>
        <w:tc>
          <w:tcPr>
            <w:tcW w:type="dxa" w:w="2642"/>
            <w:vAlign w:val="center"/>
          </w:tcPr>
          <w:p>
            <w:r/>
            <w:r>
              <w:rPr>
                <w:rFonts w:ascii="Arial" w:hAnsi="Arial"/>
                <w:b w:val="0"/>
                <w:color w:val="000000"/>
                <w:sz w:val="14"/>
              </w:rPr>
              <w:t>Control potable-water quality, tanker acceptance, delivery traceability and water-system incident response.</w:t>
            </w:r>
          </w:p>
        </w:tc>
        <w:tc>
          <w:tcPr>
            <w:tcW w:type="dxa" w:w="2642"/>
            <w:shd w:fill="DDEBF7"/>
            <w:vAlign w:val="center"/>
          </w:tcPr>
          <w:p>
            <w:r/>
            <w:r>
              <w:rPr>
                <w:rFonts w:ascii="Arial" w:hAnsi="Arial"/>
                <w:b/>
                <w:color w:val="17365D"/>
                <w:sz w:val="14"/>
              </w:rPr>
              <w:t>Source access</w:t>
            </w:r>
          </w:p>
        </w:tc>
        <w:tc>
          <w:tcPr>
            <w:tcW w:type="dxa" w:w="2642"/>
            <w:vAlign w:val="center"/>
          </w:tcPr>
          <w:p>
            <w:r/>
            <w:r>
              <w:rPr>
                <w:rFonts w:ascii="Arial" w:hAnsi="Arial"/>
                <w:b w:val="0"/>
                <w:color w:val="000000"/>
                <w:sz w:val="14"/>
              </w:rPr>
              <w:t>19-Aug-2026</w:t>
            </w:r>
          </w:p>
        </w:tc>
      </w:tr>
      <w:tr>
        <w:tc>
          <w:tcPr>
            <w:tcW w:type="dxa" w:w="2642"/>
            <w:shd w:fill="DDEBF7"/>
            <w:vAlign w:val="center"/>
          </w:tcPr>
          <w:p>
            <w:r/>
            <w:r>
              <w:rPr>
                <w:rFonts w:ascii="Arial" w:hAnsi="Arial"/>
                <w:b/>
                <w:color w:val="17365D"/>
                <w:sz w:val="14"/>
              </w:rPr>
              <w:t>Application</w:t>
            </w:r>
          </w:p>
        </w:tc>
        <w:tc>
          <w:tcPr>
            <w:tcW w:type="dxa" w:w="2642"/>
            <w:vAlign w:val="center"/>
          </w:tcPr>
          <w:p>
            <w:r/>
            <w:r>
              <w:rPr>
                <w:rFonts w:ascii="Arial" w:hAnsi="Arial"/>
                <w:b w:val="0"/>
                <w:color w:val="000000"/>
                <w:sz w:val="14"/>
              </w:rPr>
              <w:t>Remote camp kitchen, potable-water storage, ice and tanker-supplied water.</w:t>
            </w:r>
          </w:p>
        </w:tc>
        <w:tc>
          <w:tcPr>
            <w:tcW w:type="dxa" w:w="2642"/>
            <w:shd w:fill="DDEBF7"/>
            <w:vAlign w:val="center"/>
          </w:tcPr>
          <w:p>
            <w:r/>
            <w:r>
              <w:rPr>
                <w:rFonts w:ascii="Arial" w:hAnsi="Arial"/>
                <w:b/>
                <w:color w:val="17365D"/>
                <w:sz w:val="14"/>
              </w:rPr>
              <w:t>Operator</w:t>
            </w:r>
          </w:p>
        </w:tc>
        <w:tc>
          <w:tcPr>
            <w:tcW w:type="dxa" w:w="2642"/>
            <w:vAlign w:val="center"/>
          </w:tcPr>
          <w:p>
            <w:r/>
            <w:r>
              <w:rPr>
                <w:rFonts w:ascii="Arial" w:hAnsi="Arial"/>
                <w:b w:val="0"/>
                <w:color w:val="000000"/>
                <w:sz w:val="14"/>
              </w:rPr>
              <w:t>[Enter camp/operator]</w:t>
            </w:r>
          </w:p>
        </w:tc>
      </w:tr>
      <w:tr>
        <w:tc>
          <w:tcPr>
            <w:tcW w:type="dxa" w:w="2642"/>
            <w:shd w:fill="DDEBF7"/>
            <w:vAlign w:val="center"/>
          </w:tcPr>
          <w:p>
            <w:r/>
            <w:r>
              <w:rPr>
                <w:rFonts w:ascii="Arial" w:hAnsi="Arial"/>
                <w:b/>
                <w:color w:val="17365D"/>
                <w:sz w:val="14"/>
              </w:rPr>
              <w:t>Water source</w:t>
            </w:r>
          </w:p>
        </w:tc>
        <w:tc>
          <w:tcPr>
            <w:tcW w:type="dxa" w:w="2642"/>
            <w:vAlign w:val="center"/>
          </w:tcPr>
          <w:p>
            <w:r/>
            <w:r>
              <w:rPr>
                <w:rFonts w:ascii="Arial" w:hAnsi="Arial"/>
                <w:b w:val="0"/>
                <w:color w:val="000000"/>
                <w:sz w:val="14"/>
              </w:rPr>
              <w:t>[Tanker / network / mixed]</w:t>
            </w:r>
          </w:p>
        </w:tc>
        <w:tc>
          <w:tcPr>
            <w:tcW w:type="dxa" w:w="2642"/>
            <w:shd w:fill="DDEBF7"/>
            <w:vAlign w:val="center"/>
          </w:tcPr>
          <w:p>
            <w:r/>
            <w:r>
              <w:rPr>
                <w:rFonts w:ascii="Arial" w:hAnsi="Arial"/>
                <w:b/>
                <w:color w:val="17365D"/>
                <w:sz w:val="14"/>
              </w:rPr>
              <w:t>Jurisdiction</w:t>
            </w:r>
          </w:p>
        </w:tc>
        <w:tc>
          <w:tcPr>
            <w:tcW w:type="dxa" w:w="2642"/>
            <w:vAlign w:val="center"/>
          </w:tcPr>
          <w:p>
            <w:r/>
            <w:r>
              <w:rPr>
                <w:rFonts w:ascii="Arial" w:hAnsi="Arial"/>
                <w:b w:val="0"/>
                <w:color w:val="000000"/>
                <w:sz w:val="14"/>
              </w:rPr>
              <w:t>[Enter emirate]</w:t>
            </w:r>
          </w:p>
        </w:tc>
      </w:tr>
    </w:tbl>
    <w:tbl>
      <w:tblPr>
        <w:tblStyle w:val="TableGrid"/>
        <w:tblW w:type="auto" w:w="0"/>
        <w:tblLook w:firstColumn="1" w:firstRow="1" w:lastColumn="0" w:lastRow="0" w:noHBand="0" w:noVBand="1" w:val="04A0"/>
      </w:tblPr>
      <w:tblGrid>
        <w:gridCol w:w="10570"/>
      </w:tblGrid>
      <w:tr>
        <w:tc>
          <w:tcPr>
            <w:tcW w:type="dxa" w:w="10570"/>
            <w:shd w:fill="FCE4D6"/>
          </w:tcPr>
          <w:p>
            <w:r>
              <w:rPr>
                <w:b/>
                <w:color w:val="D97820"/>
              </w:rPr>
              <w:t xml:space="preserve">Critical limitation: </w:t>
            </w:r>
            <w:r>
              <w:t>A camp must not copy a supplier/tanker sampling frequency as its own water-testing programme. The responsible water entity and tanker provider carry regulated tanker duties; the camp must verify source/vehicle evidence, control its on-site tanks/ice/food risk and confirm its exact testing obligations with the competent authority, approval conditions and water supplier.</w:t>
            </w:r>
          </w:p>
        </w:tc>
      </w:tr>
    </w:tbl>
    <w:p>
      <w:pPr>
        <w:pStyle w:val="Heading1"/>
      </w:pPr>
      <w:r>
        <w:t>1. What the Regulations Clearly Require</w:t>
      </w:r>
    </w:p>
    <w:p>
      <w:r>
        <w:t>Federal Food Safety Law requires food organization officers to operate risk-analysis-based food-safety controls, keep requested registers, notify food risk and withdraw/recover non-compliant food. Potable water and ice used for preparation, cleaning or food contact must therefore be managed as food-safety inputs in the camp HACCP/PRP system. The Law does not, in the reviewed text, set one universal tanker-delivery form or daily camp water-test frequency. [1]</w:t>
      </w:r>
    </w:p>
    <w:tbl>
      <w:tblPr>
        <w:tblStyle w:val="TableGrid"/>
        <w:tblW w:type="auto" w:w="0"/>
        <w:jc w:val="center"/>
        <w:tblLook w:firstColumn="1" w:firstRow="1" w:lastColumn="0" w:lastRow="0" w:noHBand="0" w:noVBand="1" w:val="04A0"/>
      </w:tblPr>
      <w:tblGrid>
        <w:gridCol w:w="3523"/>
        <w:gridCol w:w="3523"/>
        <w:gridCol w:w="3523"/>
      </w:tblGrid>
      <w:tr>
        <w:trPr>
          <w:tblHeader w:val="true"/>
        </w:trPr>
        <w:tc>
          <w:tcPr>
            <w:tcW w:type="dxa" w:w="2088"/>
            <w:shd w:fill="17365D"/>
            <w:vAlign w:val="center"/>
          </w:tcPr>
          <w:p>
            <w:pPr>
              <w:jc w:val="center"/>
            </w:pPr>
            <w:r/>
            <w:r>
              <w:rPr>
                <w:rFonts w:ascii="Arial" w:hAnsi="Arial"/>
                <w:b/>
                <w:color w:val="FFFFFF"/>
                <w:sz w:val="13"/>
              </w:rPr>
              <w:t>Jurisdiction / source</w:t>
            </w:r>
          </w:p>
        </w:tc>
        <w:tc>
          <w:tcPr>
            <w:tcW w:type="dxa" w:w="4968"/>
            <w:shd w:fill="17365D"/>
            <w:vAlign w:val="center"/>
          </w:tcPr>
          <w:p>
            <w:pPr>
              <w:jc w:val="center"/>
            </w:pPr>
            <w:r/>
            <w:r>
              <w:rPr>
                <w:rFonts w:ascii="Arial" w:hAnsi="Arial"/>
                <w:b/>
                <w:color w:val="FFFFFF"/>
                <w:sz w:val="13"/>
              </w:rPr>
              <w:t>Confirmed requirement</w:t>
            </w:r>
          </w:p>
        </w:tc>
        <w:tc>
          <w:tcPr>
            <w:tcW w:type="dxa" w:w="2808"/>
            <w:shd w:fill="17365D"/>
            <w:vAlign w:val="center"/>
          </w:tcPr>
          <w:p>
            <w:pPr>
              <w:jc w:val="center"/>
            </w:pPr>
            <w:r/>
            <w:r>
              <w:rPr>
                <w:rFonts w:ascii="Arial" w:hAnsi="Arial"/>
                <w:b/>
                <w:color w:val="FFFFFF"/>
                <w:sz w:val="13"/>
              </w:rPr>
              <w:t>Camp-kitchen implication</w:t>
            </w:r>
          </w:p>
        </w:tc>
      </w:tr>
      <w:tr>
        <w:tc>
          <w:tcPr>
            <w:tcW w:type="dxa" w:w="2088"/>
            <w:vAlign w:val="center"/>
          </w:tcPr>
          <w:p>
            <w:r/>
            <w:r>
              <w:rPr>
                <w:rFonts w:ascii="Arial" w:hAnsi="Arial"/>
                <w:b w:val="0"/>
                <w:color w:val="000000"/>
                <w:sz w:val="13"/>
              </w:rPr>
              <w:t>Abu Dhabi DoE Tankering Regulation</w:t>
            </w:r>
          </w:p>
        </w:tc>
        <w:tc>
          <w:tcPr>
            <w:tcW w:type="dxa" w:w="4968"/>
            <w:vAlign w:val="center"/>
          </w:tcPr>
          <w:p>
            <w:r/>
            <w:r>
              <w:rPr>
                <w:rFonts w:ascii="Arial" w:hAnsi="Arial"/>
                <w:b w:val="0"/>
                <w:color w:val="000000"/>
                <w:sz w:val="13"/>
              </w:rPr>
              <w:t>Responsible entities must permit/certify, dispatch/control and inspect tankers, keep registers of tankers/drivers and other records. Tanker operators require necessary certificates/permits. Certified/permitted tankers must have intended-purpose signage and tracking; cross-use between drinking/non-drinking/wastewater tankers is prohibited. [2]</w:t>
            </w:r>
          </w:p>
        </w:tc>
        <w:tc>
          <w:tcPr>
            <w:tcW w:type="dxa" w:w="2808"/>
            <w:vAlign w:val="center"/>
          </w:tcPr>
          <w:p>
            <w:r/>
            <w:r>
              <w:rPr>
                <w:rFonts w:ascii="Arial" w:hAnsi="Arial"/>
                <w:b w:val="0"/>
                <w:color w:val="000000"/>
                <w:sz w:val="13"/>
              </w:rPr>
              <w:t>Accept potable water only from a verifiable drinking-water tanker/provider. Record vehicle, permit/certificate validity, intended-use signage, driver and delivery source; reject/escalate any cross-use, hygiene, leak or document concern.</w:t>
            </w:r>
          </w:p>
        </w:tc>
      </w:tr>
      <w:tr>
        <w:tc>
          <w:tcPr>
            <w:tcW w:type="dxa" w:w="2088"/>
            <w:shd w:fill="FAFAFA"/>
            <w:vAlign w:val="center"/>
          </w:tcPr>
          <w:p>
            <w:r/>
            <w:r>
              <w:rPr>
                <w:rFonts w:ascii="Arial" w:hAnsi="Arial"/>
                <w:b w:val="0"/>
                <w:color w:val="000000"/>
                <w:sz w:val="13"/>
              </w:rPr>
              <w:t>Abu Dhabi DoE Water Quality Regulations 2021 — Schedule 2</w:t>
            </w:r>
          </w:p>
        </w:tc>
        <w:tc>
          <w:tcPr>
            <w:tcW w:type="dxa" w:w="4968"/>
            <w:shd w:fill="FAFAFA"/>
            <w:vAlign w:val="center"/>
          </w:tcPr>
          <w:p>
            <w:r/>
            <w:r>
              <w:rPr>
                <w:rFonts w:ascii="Arial" w:hAnsi="Arial"/>
                <w:b w:val="0"/>
                <w:color w:val="000000"/>
                <w:sz w:val="13"/>
              </w:rPr>
              <w:t>Water tanker sampling frequencies are set for regulated tanker activity. For all tanker sizes, Table A/C/E/F and Legionella parameter groups have annual Reduced/Standard/Increased frequencies of 1/2/4. Internally coated tankers have TOC and specified Table E chemical requirements. [3]</w:t>
            </w:r>
          </w:p>
        </w:tc>
        <w:tc>
          <w:tcPr>
            <w:tcW w:type="dxa" w:w="2808"/>
            <w:shd w:fill="FAFAFA"/>
            <w:vAlign w:val="center"/>
          </w:tcPr>
          <w:p>
            <w:r/>
            <w:r>
              <w:rPr>
                <w:rFonts w:ascii="Arial" w:hAnsi="Arial"/>
                <w:b w:val="0"/>
                <w:color w:val="000000"/>
                <w:sz w:val="13"/>
              </w:rPr>
              <w:t>Obtain current tanker/provider sampling certificate and confirm the applicable programme/risk category with the responsible entity. Do not select category or parameter limits yourself.</w:t>
            </w:r>
          </w:p>
        </w:tc>
      </w:tr>
      <w:tr>
        <w:tc>
          <w:tcPr>
            <w:tcW w:type="dxa" w:w="2088"/>
            <w:vAlign w:val="center"/>
          </w:tcPr>
          <w:p>
            <w:r/>
            <w:r>
              <w:rPr>
                <w:rFonts w:ascii="Arial" w:hAnsi="Arial"/>
                <w:b w:val="0"/>
                <w:color w:val="000000"/>
                <w:sz w:val="13"/>
              </w:rPr>
              <w:t>Dubai Municipality</w:t>
            </w:r>
          </w:p>
        </w:tc>
        <w:tc>
          <w:tcPr>
            <w:tcW w:type="dxa" w:w="4968"/>
            <w:vAlign w:val="center"/>
          </w:tcPr>
          <w:p>
            <w:r/>
            <w:r>
              <w:rPr>
                <w:rFonts w:ascii="Arial" w:hAnsi="Arial"/>
                <w:b w:val="0"/>
                <w:color w:val="000000"/>
                <w:sz w:val="13"/>
              </w:rPr>
              <w:t>Dubai Municipality officially lists Technical Guideline 17 for quality of unbottled drinking water, plus Guideline 44 for Legionella control and Guideline 133 for water-system safety in emergencies. [4]</w:t>
            </w:r>
          </w:p>
        </w:tc>
        <w:tc>
          <w:tcPr>
            <w:tcW w:type="dxa" w:w="2808"/>
            <w:vAlign w:val="center"/>
          </w:tcPr>
          <w:p>
            <w:r/>
            <w:r>
              <w:rPr>
                <w:rFonts w:ascii="Arial" w:hAnsi="Arial"/>
                <w:b w:val="0"/>
                <w:color w:val="000000"/>
                <w:sz w:val="13"/>
              </w:rPr>
              <w:t>Obtain the current Arabic technical guideline and written Dubai-specific advice before setting water-tank cleaning, testing and tanker acceptance frequencies; do not assume Abu Dhabi values apply.</w:t>
            </w:r>
          </w:p>
        </w:tc>
      </w:tr>
    </w:tbl>
    <w:p>
      <w:pPr>
        <w:spacing w:after="0"/>
      </w:pPr>
    </w:p>
    <w:p>
      <w:pPr>
        <w:pStyle w:val="Heading1"/>
      </w:pPr>
      <w:r>
        <w:t>2. Abu Dhabi: Published Sampling Frequency — Apply With Correct Boundary</w:t>
      </w:r>
    </w:p>
    <w:p>
      <w:r>
        <w:t>The DoE Schedule 2 amendment applies to licensees, entities and consumers who operate or receive wholesome water. It provides the tanker and storage sampling schedules below. This Schedule amendment identifies parameter groups by reference to Schedule 1; it should not be used to invent test limits or substitute an authority/supplier-approved sampling plan. [3]</w:t>
      </w:r>
    </w:p>
    <w:tbl>
      <w:tblPr>
        <w:tblStyle w:val="TableGrid"/>
        <w:tblW w:type="auto" w:w="0"/>
        <w:jc w:val="center"/>
        <w:tblLook w:firstColumn="1" w:firstRow="1" w:lastColumn="0" w:lastRow="0" w:noHBand="0" w:noVBand="1" w:val="04A0"/>
      </w:tblPr>
      <w:tblGrid>
        <w:gridCol w:w="2114"/>
        <w:gridCol w:w="2114"/>
        <w:gridCol w:w="2114"/>
        <w:gridCol w:w="2114"/>
        <w:gridCol w:w="2114"/>
      </w:tblGrid>
      <w:tr>
        <w:trPr>
          <w:tblHeader w:val="true"/>
        </w:trPr>
        <w:tc>
          <w:tcPr>
            <w:tcW w:type="dxa" w:w="3456"/>
            <w:shd w:fill="17365D"/>
            <w:vAlign w:val="center"/>
          </w:tcPr>
          <w:p>
            <w:pPr>
              <w:jc w:val="center"/>
            </w:pPr>
            <w:r/>
            <w:r>
              <w:rPr>
                <w:rFonts w:ascii="Arial" w:hAnsi="Arial"/>
                <w:b/>
                <w:color w:val="FFFFFF"/>
                <w:sz w:val="13"/>
              </w:rPr>
              <w:t>Asset / responsible party</w:t>
            </w:r>
          </w:p>
        </w:tc>
        <w:tc>
          <w:tcPr>
            <w:tcW w:type="dxa" w:w="1656"/>
            <w:shd w:fill="17365D"/>
            <w:vAlign w:val="center"/>
          </w:tcPr>
          <w:p>
            <w:pPr>
              <w:jc w:val="center"/>
            </w:pPr>
            <w:r/>
            <w:r>
              <w:rPr>
                <w:rFonts w:ascii="Arial" w:hAnsi="Arial"/>
                <w:b/>
                <w:color w:val="FFFFFF"/>
                <w:sz w:val="13"/>
              </w:rPr>
              <w:t>Reduced</w:t>
            </w:r>
          </w:p>
        </w:tc>
        <w:tc>
          <w:tcPr>
            <w:tcW w:type="dxa" w:w="1656"/>
            <w:shd w:fill="17365D"/>
            <w:vAlign w:val="center"/>
          </w:tcPr>
          <w:p>
            <w:pPr>
              <w:jc w:val="center"/>
            </w:pPr>
            <w:r/>
            <w:r>
              <w:rPr>
                <w:rFonts w:ascii="Arial" w:hAnsi="Arial"/>
                <w:b/>
                <w:color w:val="FFFFFF"/>
                <w:sz w:val="13"/>
              </w:rPr>
              <w:t>Standard</w:t>
            </w:r>
          </w:p>
        </w:tc>
        <w:tc>
          <w:tcPr>
            <w:tcW w:type="dxa" w:w="1656"/>
            <w:shd w:fill="17365D"/>
            <w:vAlign w:val="center"/>
          </w:tcPr>
          <w:p>
            <w:pPr>
              <w:jc w:val="center"/>
            </w:pPr>
            <w:r/>
            <w:r>
              <w:rPr>
                <w:rFonts w:ascii="Arial" w:hAnsi="Arial"/>
                <w:b/>
                <w:color w:val="FFFFFF"/>
                <w:sz w:val="13"/>
              </w:rPr>
              <w:t>Increased</w:t>
            </w:r>
          </w:p>
        </w:tc>
        <w:tc>
          <w:tcPr>
            <w:tcW w:type="dxa" w:w="2880"/>
            <w:shd w:fill="17365D"/>
            <w:vAlign w:val="center"/>
          </w:tcPr>
          <w:p>
            <w:pPr>
              <w:jc w:val="center"/>
            </w:pPr>
            <w:r/>
            <w:r>
              <w:rPr>
                <w:rFonts w:ascii="Arial" w:hAnsi="Arial"/>
                <w:b/>
                <w:color w:val="FFFFFF"/>
                <w:sz w:val="13"/>
              </w:rPr>
              <w:t>Published qualifier</w:t>
            </w:r>
          </w:p>
        </w:tc>
      </w:tr>
      <w:tr>
        <w:tc>
          <w:tcPr>
            <w:tcW w:type="dxa" w:w="3456"/>
            <w:vAlign w:val="center"/>
          </w:tcPr>
          <w:p>
            <w:r/>
            <w:r>
              <w:rPr>
                <w:rFonts w:ascii="Arial" w:hAnsi="Arial"/>
                <w:b w:val="0"/>
                <w:color w:val="000000"/>
                <w:sz w:val="13"/>
              </w:rPr>
              <w:t>Water tanker — regulated tanker activity / water provider</w:t>
            </w:r>
          </w:p>
        </w:tc>
        <w:tc>
          <w:tcPr>
            <w:tcW w:type="dxa" w:w="1656"/>
            <w:vAlign w:val="center"/>
          </w:tcPr>
          <w:p>
            <w:r/>
            <w:r>
              <w:rPr>
                <w:rFonts w:ascii="Arial" w:hAnsi="Arial"/>
                <w:b w:val="0"/>
                <w:color w:val="000000"/>
                <w:sz w:val="13"/>
              </w:rPr>
              <w:t>1 annual sample</w:t>
            </w:r>
          </w:p>
        </w:tc>
        <w:tc>
          <w:tcPr>
            <w:tcW w:type="dxa" w:w="1656"/>
            <w:vAlign w:val="center"/>
          </w:tcPr>
          <w:p>
            <w:r/>
            <w:r>
              <w:rPr>
                <w:rFonts w:ascii="Arial" w:hAnsi="Arial"/>
                <w:b w:val="0"/>
                <w:color w:val="000000"/>
                <w:sz w:val="13"/>
              </w:rPr>
              <w:t>2 annual samples</w:t>
            </w:r>
          </w:p>
        </w:tc>
        <w:tc>
          <w:tcPr>
            <w:tcW w:type="dxa" w:w="1656"/>
            <w:vAlign w:val="center"/>
          </w:tcPr>
          <w:p>
            <w:r/>
            <w:r>
              <w:rPr>
                <w:rFonts w:ascii="Arial" w:hAnsi="Arial"/>
                <w:b w:val="0"/>
                <w:color w:val="000000"/>
                <w:sz w:val="13"/>
              </w:rPr>
              <w:t>4 annual samples</w:t>
            </w:r>
          </w:p>
        </w:tc>
        <w:tc>
          <w:tcPr>
            <w:tcW w:type="dxa" w:w="2880"/>
            <w:vAlign w:val="center"/>
          </w:tcPr>
          <w:p>
            <w:r/>
            <w:r>
              <w:rPr>
                <w:rFonts w:ascii="Arial" w:hAnsi="Arial"/>
                <w:b w:val="0"/>
                <w:color w:val="000000"/>
                <w:sz w:val="13"/>
              </w:rPr>
              <w:t>All sizes; Table A, C, E, F and Legionella groups. Coated tanks require TOC + listed Table E chemicals.</w:t>
            </w:r>
          </w:p>
        </w:tc>
      </w:tr>
      <w:tr>
        <w:tc>
          <w:tcPr>
            <w:tcW w:type="dxa" w:w="3456"/>
            <w:shd w:fill="FAFAFA"/>
            <w:vAlign w:val="center"/>
          </w:tcPr>
          <w:p>
            <w:r/>
            <w:r>
              <w:rPr>
                <w:rFonts w:ascii="Arial" w:hAnsi="Arial"/>
                <w:b w:val="0"/>
                <w:color w:val="000000"/>
                <w:sz w:val="13"/>
              </w:rPr>
              <w:t>Water storage tank &lt;2,000 m³ — regulated water body / operating entity</w:t>
            </w:r>
          </w:p>
        </w:tc>
        <w:tc>
          <w:tcPr>
            <w:tcW w:type="dxa" w:w="1656"/>
            <w:shd w:fill="FAFAFA"/>
            <w:vAlign w:val="center"/>
          </w:tcPr>
          <w:p>
            <w:r/>
            <w:r>
              <w:rPr>
                <w:rFonts w:ascii="Arial" w:hAnsi="Arial"/>
                <w:b w:val="0"/>
                <w:color w:val="000000"/>
                <w:sz w:val="13"/>
              </w:rPr>
              <w:t>2 annual samples</w:t>
            </w:r>
          </w:p>
        </w:tc>
        <w:tc>
          <w:tcPr>
            <w:tcW w:type="dxa" w:w="1656"/>
            <w:shd w:fill="FAFAFA"/>
            <w:vAlign w:val="center"/>
          </w:tcPr>
          <w:p>
            <w:r/>
            <w:r>
              <w:rPr>
                <w:rFonts w:ascii="Arial" w:hAnsi="Arial"/>
                <w:b w:val="0"/>
                <w:color w:val="000000"/>
                <w:sz w:val="13"/>
              </w:rPr>
              <w:t>2 annual samples</w:t>
            </w:r>
          </w:p>
        </w:tc>
        <w:tc>
          <w:tcPr>
            <w:tcW w:type="dxa" w:w="1656"/>
            <w:shd w:fill="FAFAFA"/>
            <w:vAlign w:val="center"/>
          </w:tcPr>
          <w:p>
            <w:r/>
            <w:r>
              <w:rPr>
                <w:rFonts w:ascii="Arial" w:hAnsi="Arial"/>
                <w:b w:val="0"/>
                <w:color w:val="000000"/>
                <w:sz w:val="13"/>
              </w:rPr>
              <w:t>8 annual samples</w:t>
            </w:r>
          </w:p>
        </w:tc>
        <w:tc>
          <w:tcPr>
            <w:tcW w:type="dxa" w:w="2880"/>
            <w:shd w:fill="FAFAFA"/>
            <w:vAlign w:val="center"/>
          </w:tcPr>
          <w:p>
            <w:r/>
            <w:r>
              <w:rPr>
                <w:rFonts w:ascii="Arial" w:hAnsi="Arial"/>
                <w:b w:val="0"/>
                <w:color w:val="000000"/>
                <w:sz w:val="13"/>
              </w:rPr>
              <w:t>Table A, Table F (except Legionella) and Legionella; wider table applies to larger capacity.</w:t>
            </w:r>
          </w:p>
        </w:tc>
      </w:tr>
      <w:tr>
        <w:tc>
          <w:tcPr>
            <w:tcW w:type="dxa" w:w="3456"/>
            <w:vAlign w:val="center"/>
          </w:tcPr>
          <w:p>
            <w:r/>
            <w:r>
              <w:rPr>
                <w:rFonts w:ascii="Arial" w:hAnsi="Arial"/>
                <w:b w:val="0"/>
                <w:color w:val="000000"/>
                <w:sz w:val="13"/>
              </w:rPr>
              <w:t>Camp kitchen as consumer/receiver</w:t>
            </w:r>
          </w:p>
        </w:tc>
        <w:tc>
          <w:tcPr>
            <w:tcW w:type="dxa" w:w="1656"/>
            <w:vAlign w:val="center"/>
          </w:tcPr>
          <w:p>
            <w:r/>
            <w:r>
              <w:rPr>
                <w:rFonts w:ascii="Arial" w:hAnsi="Arial"/>
                <w:b w:val="0"/>
                <w:color w:val="000000"/>
                <w:sz w:val="13"/>
              </w:rPr>
              <w:t>Verify provider programme; event-test as authority/risk direction requires</w:t>
            </w:r>
          </w:p>
        </w:tc>
        <w:tc>
          <w:tcPr>
            <w:tcW w:type="dxa" w:w="1656"/>
            <w:vAlign w:val="center"/>
          </w:tcPr>
          <w:p>
            <w:r/>
            <w:r>
              <w:rPr>
                <w:rFonts w:ascii="Arial" w:hAnsi="Arial"/>
                <w:b w:val="0"/>
                <w:color w:val="000000"/>
                <w:sz w:val="13"/>
              </w:rPr>
              <w:t>Verify provider programme; event-test as authority/risk direction requires</w:t>
            </w:r>
          </w:p>
        </w:tc>
        <w:tc>
          <w:tcPr>
            <w:tcW w:type="dxa" w:w="1656"/>
            <w:vAlign w:val="center"/>
          </w:tcPr>
          <w:p>
            <w:r/>
            <w:r>
              <w:rPr>
                <w:rFonts w:ascii="Arial" w:hAnsi="Arial"/>
                <w:b w:val="0"/>
                <w:color w:val="000000"/>
                <w:sz w:val="13"/>
              </w:rPr>
              <w:t>Verify provider programme; event-test as authority/risk direction requires</w:t>
            </w:r>
          </w:p>
        </w:tc>
        <w:tc>
          <w:tcPr>
            <w:tcW w:type="dxa" w:w="2880"/>
            <w:vAlign w:val="center"/>
          </w:tcPr>
          <w:p>
            <w:r/>
            <w:r>
              <w:rPr>
                <w:rFonts w:ascii="Arial" w:hAnsi="Arial"/>
                <w:b w:val="0"/>
                <w:color w:val="000000"/>
                <w:sz w:val="13"/>
              </w:rPr>
              <w:t>Camp operator retains on-site HACCP/PRP duty; confirm own responsibility with authority, supplier and approval conditions.</w:t>
            </w:r>
          </w:p>
        </w:tc>
      </w:tr>
    </w:tbl>
    <w:p>
      <w:pPr>
        <w:spacing w:after="0"/>
      </w:pPr>
    </w:p>
    <w:p>
      <w:pPr>
        <w:pStyle w:val="Heading1"/>
      </w:pPr>
      <w:r>
        <w:t>3. Tanker Delivery Acceptance Standard — Every Delivery</w:t>
      </w:r>
    </w:p>
    <w:p>
      <w:r>
        <w:t>The delivery ticket is both a food-safety and traceability document. Do not transfer into the camp potable tank until the receiving person has completed the visual/documentary acceptance checks and can demonstrate a controlled potable source.</w:t>
      </w:r>
    </w:p>
    <w:tbl>
      <w:tblPr>
        <w:tblStyle w:val="TableGrid"/>
        <w:tblW w:type="auto" w:w="0"/>
        <w:jc w:val="center"/>
        <w:tblLook w:firstColumn="1" w:firstRow="1" w:lastColumn="0" w:lastRow="0" w:noHBand="0" w:noVBand="1" w:val="04A0"/>
      </w:tblPr>
      <w:tblGrid>
        <w:gridCol w:w="3523"/>
        <w:gridCol w:w="3523"/>
        <w:gridCol w:w="3523"/>
      </w:tblGrid>
      <w:tr>
        <w:trPr>
          <w:tblHeader w:val="true"/>
        </w:trPr>
        <w:tc>
          <w:tcPr>
            <w:tcW w:type="dxa" w:w="2088"/>
            <w:shd w:fill="17365D"/>
            <w:vAlign w:val="center"/>
          </w:tcPr>
          <w:p>
            <w:pPr>
              <w:jc w:val="center"/>
            </w:pPr>
            <w:r/>
            <w:r>
              <w:rPr>
                <w:rFonts w:ascii="Arial" w:hAnsi="Arial"/>
                <w:b/>
                <w:color w:val="FFFFFF"/>
                <w:sz w:val="13"/>
              </w:rPr>
              <w:t>Control group</w:t>
            </w:r>
          </w:p>
        </w:tc>
        <w:tc>
          <w:tcPr>
            <w:tcW w:type="dxa" w:w="4968"/>
            <w:shd w:fill="17365D"/>
            <w:vAlign w:val="center"/>
          </w:tcPr>
          <w:p>
            <w:pPr>
              <w:jc w:val="center"/>
            </w:pPr>
            <w:r/>
            <w:r>
              <w:rPr>
                <w:rFonts w:ascii="Arial" w:hAnsi="Arial"/>
                <w:b/>
                <w:color w:val="FFFFFF"/>
                <w:sz w:val="13"/>
              </w:rPr>
              <w:t>Acceptance / log requirement</w:t>
            </w:r>
          </w:p>
        </w:tc>
        <w:tc>
          <w:tcPr>
            <w:tcW w:type="dxa" w:w="2808"/>
            <w:shd w:fill="17365D"/>
            <w:vAlign w:val="center"/>
          </w:tcPr>
          <w:p>
            <w:pPr>
              <w:jc w:val="center"/>
            </w:pPr>
            <w:r/>
            <w:r>
              <w:rPr>
                <w:rFonts w:ascii="Arial" w:hAnsi="Arial"/>
                <w:b/>
                <w:color w:val="FFFFFF"/>
                <w:sz w:val="13"/>
              </w:rPr>
              <w:t>Reject or escalate if</w:t>
            </w:r>
          </w:p>
        </w:tc>
      </w:tr>
      <w:tr>
        <w:tc>
          <w:tcPr>
            <w:tcW w:type="dxa" w:w="2088"/>
            <w:vAlign w:val="center"/>
          </w:tcPr>
          <w:p>
            <w:r/>
            <w:r>
              <w:rPr>
                <w:rFonts w:ascii="Arial" w:hAnsi="Arial"/>
                <w:b w:val="0"/>
                <w:color w:val="000000"/>
                <w:sz w:val="13"/>
              </w:rPr>
              <w:t>Provider and tanker authorisation</w:t>
            </w:r>
          </w:p>
        </w:tc>
        <w:tc>
          <w:tcPr>
            <w:tcW w:type="dxa" w:w="4968"/>
            <w:vAlign w:val="center"/>
          </w:tcPr>
          <w:p>
            <w:r/>
            <w:r>
              <w:rPr>
                <w:rFonts w:ascii="Arial" w:hAnsi="Arial"/>
                <w:b w:val="0"/>
                <w:color w:val="000000"/>
                <w:sz w:val="13"/>
              </w:rPr>
              <w:t>Supplier/responsible entity; tanker certificate/permit number and validity; registration; driver; delivery/trip/GPS/dispatch reference.</w:t>
            </w:r>
          </w:p>
        </w:tc>
        <w:tc>
          <w:tcPr>
            <w:tcW w:type="dxa" w:w="2808"/>
            <w:vAlign w:val="center"/>
          </w:tcPr>
          <w:p>
            <w:r/>
            <w:r>
              <w:rPr>
                <w:rFonts w:ascii="Arial" w:hAnsi="Arial"/>
                <w:b w:val="0"/>
                <w:color w:val="000000"/>
                <w:sz w:val="13"/>
              </w:rPr>
              <w:t>No valid evidence, vehicle/provider mismatch, expired approval or unknown supply route.</w:t>
            </w:r>
          </w:p>
        </w:tc>
      </w:tr>
      <w:tr>
        <w:tc>
          <w:tcPr>
            <w:tcW w:type="dxa" w:w="2088"/>
            <w:shd w:fill="FAFAFA"/>
            <w:vAlign w:val="center"/>
          </w:tcPr>
          <w:p>
            <w:r/>
            <w:r>
              <w:rPr>
                <w:rFonts w:ascii="Arial" w:hAnsi="Arial"/>
                <w:b w:val="0"/>
                <w:color w:val="000000"/>
                <w:sz w:val="13"/>
              </w:rPr>
              <w:t>Potable-only segregation</w:t>
            </w:r>
          </w:p>
        </w:tc>
        <w:tc>
          <w:tcPr>
            <w:tcW w:type="dxa" w:w="4968"/>
            <w:shd w:fill="FAFAFA"/>
            <w:vAlign w:val="center"/>
          </w:tcPr>
          <w:p>
            <w:r/>
            <w:r>
              <w:rPr>
                <w:rFonts w:ascii="Arial" w:hAnsi="Arial"/>
                <w:b w:val="0"/>
                <w:color w:val="000000"/>
                <w:sz w:val="13"/>
              </w:rPr>
              <w:t>Tanker identified/signed as drinking water; no evidence of alternative use; protected hatch, outlet, hose and fittings; no leaks.</w:t>
            </w:r>
          </w:p>
        </w:tc>
        <w:tc>
          <w:tcPr>
            <w:tcW w:type="dxa" w:w="2808"/>
            <w:shd w:fill="FAFAFA"/>
            <w:vAlign w:val="center"/>
          </w:tcPr>
          <w:p>
            <w:r/>
            <w:r>
              <w:rPr>
                <w:rFonts w:ascii="Arial" w:hAnsi="Arial"/>
                <w:b w:val="0"/>
                <w:color w:val="000000"/>
                <w:sz w:val="13"/>
              </w:rPr>
              <w:t>Missing intended-use signage, cross-use concern, non-potable/wastewater use, seal break without explanation or unsanitary fittings.</w:t>
            </w:r>
          </w:p>
        </w:tc>
      </w:tr>
      <w:tr>
        <w:tc>
          <w:tcPr>
            <w:tcW w:type="dxa" w:w="2088"/>
            <w:vAlign w:val="center"/>
          </w:tcPr>
          <w:p>
            <w:r/>
            <w:r>
              <w:rPr>
                <w:rFonts w:ascii="Arial" w:hAnsi="Arial"/>
                <w:b w:val="0"/>
                <w:color w:val="000000"/>
                <w:sz w:val="13"/>
              </w:rPr>
              <w:t>Water origin and quality evidence</w:t>
            </w:r>
          </w:p>
        </w:tc>
        <w:tc>
          <w:tcPr>
            <w:tcW w:type="dxa" w:w="4968"/>
            <w:vAlign w:val="center"/>
          </w:tcPr>
          <w:p>
            <w:r/>
            <w:r>
              <w:rPr>
                <w:rFonts w:ascii="Arial" w:hAnsi="Arial"/>
                <w:b w:val="0"/>
                <w:color w:val="000000"/>
                <w:sz w:val="13"/>
              </w:rPr>
              <w:t>Filling point/source; delivery volume; current certificate of analysis/sampling reference; supplier programme/reference.</w:t>
            </w:r>
          </w:p>
        </w:tc>
        <w:tc>
          <w:tcPr>
            <w:tcW w:type="dxa" w:w="2808"/>
            <w:vAlign w:val="center"/>
          </w:tcPr>
          <w:p>
            <w:r/>
            <w:r>
              <w:rPr>
                <w:rFonts w:ascii="Arial" w:hAnsi="Arial"/>
                <w:b w:val="0"/>
                <w:color w:val="000000"/>
                <w:sz w:val="13"/>
              </w:rPr>
              <w:t>Source cannot be identified, certificate is unavailable/expired against supplier programme, abnormal odour/colour/sediment or prior nonconformity unresolved.</w:t>
            </w:r>
          </w:p>
        </w:tc>
      </w:tr>
      <w:tr>
        <w:tc>
          <w:tcPr>
            <w:tcW w:type="dxa" w:w="2088"/>
            <w:shd w:fill="FAFAFA"/>
            <w:vAlign w:val="center"/>
          </w:tcPr>
          <w:p>
            <w:r/>
            <w:r>
              <w:rPr>
                <w:rFonts w:ascii="Arial" w:hAnsi="Arial"/>
                <w:b w:val="0"/>
                <w:color w:val="000000"/>
                <w:sz w:val="13"/>
              </w:rPr>
              <w:t>Transfer control</w:t>
            </w:r>
          </w:p>
        </w:tc>
        <w:tc>
          <w:tcPr>
            <w:tcW w:type="dxa" w:w="4968"/>
            <w:shd w:fill="FAFAFA"/>
            <w:vAlign w:val="center"/>
          </w:tcPr>
          <w:p>
            <w:r/>
            <w:r>
              <w:rPr>
                <w:rFonts w:ascii="Arial" w:hAnsi="Arial"/>
                <w:b w:val="0"/>
                <w:color w:val="000000"/>
                <w:sz w:val="13"/>
              </w:rPr>
              <w:t>Receiving tank ID; start/end level or meter; protected connection; date/time; receiving person; delivery ticket and signatures.</w:t>
            </w:r>
          </w:p>
        </w:tc>
        <w:tc>
          <w:tcPr>
            <w:tcW w:type="dxa" w:w="2808"/>
            <w:shd w:fill="FAFAFA"/>
            <w:vAlign w:val="center"/>
          </w:tcPr>
          <w:p>
            <w:r/>
            <w:r>
              <w:rPr>
                <w:rFonts w:ascii="Arial" w:hAnsi="Arial"/>
                <w:b w:val="0"/>
                <w:color w:val="000000"/>
                <w:sz w:val="13"/>
              </w:rPr>
              <w:t>Unprotected transfer, wrong tank, cross-connection, spill, backflow risk or uncontrolled hose contact.</w:t>
            </w:r>
          </w:p>
        </w:tc>
      </w:tr>
      <w:tr>
        <w:tc>
          <w:tcPr>
            <w:tcW w:type="dxa" w:w="2088"/>
            <w:vAlign w:val="center"/>
          </w:tcPr>
          <w:p>
            <w:r/>
            <w:r>
              <w:rPr>
                <w:rFonts w:ascii="Arial" w:hAnsi="Arial"/>
                <w:b w:val="0"/>
                <w:color w:val="000000"/>
                <w:sz w:val="13"/>
              </w:rPr>
              <w:t>Deviation and food impact</w:t>
            </w:r>
          </w:p>
        </w:tc>
        <w:tc>
          <w:tcPr>
            <w:tcW w:type="dxa" w:w="4968"/>
            <w:vAlign w:val="center"/>
          </w:tcPr>
          <w:p>
            <w:r/>
            <w:r>
              <w:rPr>
                <w:rFonts w:ascii="Arial" w:hAnsi="Arial"/>
                <w:b w:val="0"/>
                <w:color w:val="000000"/>
                <w:sz w:val="13"/>
              </w:rPr>
              <w:t>Record rejection, containment, CAPA, water/ice/food batch affected, authority/supplier contact and disposition.</w:t>
            </w:r>
          </w:p>
        </w:tc>
        <w:tc>
          <w:tcPr>
            <w:tcW w:type="dxa" w:w="2808"/>
            <w:vAlign w:val="center"/>
          </w:tcPr>
          <w:p>
            <w:r/>
            <w:r>
              <w:rPr>
                <w:rFonts w:ascii="Arial" w:hAnsi="Arial"/>
                <w:b w:val="0"/>
                <w:color w:val="000000"/>
                <w:sz w:val="13"/>
              </w:rPr>
              <w:t>Suspected contamination, chemical odour, water interruption, quality failure or potable/non-potable mixing.</w:t>
            </w:r>
          </w:p>
        </w:tc>
      </w:tr>
    </w:tbl>
    <w:p>
      <w:pPr>
        <w:spacing w:after="0"/>
      </w:pPr>
    </w:p>
    <w:p>
      <w:pPr>
        <w:pStyle w:val="Heading1"/>
      </w:pPr>
      <w:r>
        <w:t>4. Daily Water-System Monitoring — Remote Camp Kitchen</w:t>
      </w:r>
    </w:p>
    <w:tbl>
      <w:tblPr>
        <w:tblStyle w:val="TableGrid"/>
        <w:tblW w:type="auto" w:w="0"/>
        <w:jc w:val="center"/>
        <w:tblLook w:firstColumn="1" w:firstRow="1" w:lastColumn="0" w:lastRow="0" w:noHBand="0" w:noVBand="1" w:val="04A0"/>
      </w:tblPr>
      <w:tblGrid>
        <w:gridCol w:w="3523"/>
        <w:gridCol w:w="3523"/>
        <w:gridCol w:w="3523"/>
      </w:tblGrid>
      <w:tr>
        <w:trPr>
          <w:tblHeader w:val="true"/>
        </w:trPr>
        <w:tc>
          <w:tcPr>
            <w:tcW w:type="dxa" w:w="2448"/>
            <w:shd w:fill="17365D"/>
            <w:vAlign w:val="center"/>
          </w:tcPr>
          <w:p>
            <w:pPr>
              <w:jc w:val="center"/>
            </w:pPr>
            <w:r/>
            <w:r>
              <w:rPr>
                <w:rFonts w:ascii="Arial" w:hAnsi="Arial"/>
                <w:b/>
                <w:color w:val="FFFFFF"/>
                <w:sz w:val="13"/>
              </w:rPr>
              <w:t>Frequency / trigger</w:t>
            </w:r>
          </w:p>
        </w:tc>
        <w:tc>
          <w:tcPr>
            <w:tcW w:type="dxa" w:w="5112"/>
            <w:shd w:fill="17365D"/>
            <w:vAlign w:val="center"/>
          </w:tcPr>
          <w:p>
            <w:pPr>
              <w:jc w:val="center"/>
            </w:pPr>
            <w:r/>
            <w:r>
              <w:rPr>
                <w:rFonts w:ascii="Arial" w:hAnsi="Arial"/>
                <w:b/>
                <w:color w:val="FFFFFF"/>
                <w:sz w:val="13"/>
              </w:rPr>
              <w:t>Record and verify</w:t>
            </w:r>
          </w:p>
        </w:tc>
        <w:tc>
          <w:tcPr>
            <w:tcW w:type="dxa" w:w="2304"/>
            <w:shd w:fill="17365D"/>
            <w:vAlign w:val="center"/>
          </w:tcPr>
          <w:p>
            <w:pPr>
              <w:jc w:val="center"/>
            </w:pPr>
            <w:r/>
            <w:r>
              <w:rPr>
                <w:rFonts w:ascii="Arial" w:hAnsi="Arial"/>
                <w:b/>
                <w:color w:val="FFFFFF"/>
                <w:sz w:val="13"/>
              </w:rPr>
              <w:t>Immediate action if not satisfactory</w:t>
            </w:r>
          </w:p>
        </w:tc>
      </w:tr>
      <w:tr>
        <w:tc>
          <w:tcPr>
            <w:tcW w:type="dxa" w:w="2448"/>
            <w:vAlign w:val="center"/>
          </w:tcPr>
          <w:p>
            <w:r/>
            <w:r>
              <w:rPr>
                <w:rFonts w:ascii="Arial" w:hAnsi="Arial"/>
                <w:b w:val="0"/>
                <w:color w:val="000000"/>
                <w:sz w:val="13"/>
              </w:rPr>
              <w:t>Every operating day before food preparation</w:t>
            </w:r>
          </w:p>
        </w:tc>
        <w:tc>
          <w:tcPr>
            <w:tcW w:type="dxa" w:w="5112"/>
            <w:vAlign w:val="center"/>
          </w:tcPr>
          <w:p>
            <w:r/>
            <w:r>
              <w:rPr>
                <w:rFonts w:ascii="Arial" w:hAnsi="Arial"/>
                <w:b w:val="0"/>
                <w:color w:val="000000"/>
                <w:sz w:val="13"/>
              </w:rPr>
              <w:t>Potable source available; tank lid/vent/overflow and access protected; no leak, sediment, abnormal odour/discolouration; food-prep tap and ice source condition; current water test certificate / next due date; cleaning/disinfection status.</w:t>
            </w:r>
          </w:p>
        </w:tc>
        <w:tc>
          <w:tcPr>
            <w:tcW w:type="dxa" w:w="2304"/>
            <w:vAlign w:val="center"/>
          </w:tcPr>
          <w:p>
            <w:r/>
            <w:r>
              <w:rPr>
                <w:rFonts w:ascii="Arial" w:hAnsi="Arial"/>
                <w:b w:val="0"/>
                <w:color w:val="000000"/>
                <w:sz w:val="13"/>
              </w:rPr>
              <w:t>Do not use suspect water/ice for food or cleaning; isolate affected tank/line/ice; switch to verified potable contingency source; record CAPA and contact supplier/authority as appropriate.</w:t>
            </w:r>
          </w:p>
        </w:tc>
      </w:tr>
      <w:tr>
        <w:tc>
          <w:tcPr>
            <w:tcW w:type="dxa" w:w="2448"/>
            <w:shd w:fill="FAFAFA"/>
            <w:vAlign w:val="center"/>
          </w:tcPr>
          <w:p>
            <w:r/>
            <w:r>
              <w:rPr>
                <w:rFonts w:ascii="Arial" w:hAnsi="Arial"/>
                <w:b w:val="0"/>
                <w:color w:val="000000"/>
                <w:sz w:val="13"/>
              </w:rPr>
              <w:t>Every tanker delivery</w:t>
            </w:r>
          </w:p>
        </w:tc>
        <w:tc>
          <w:tcPr>
            <w:tcW w:type="dxa" w:w="5112"/>
            <w:shd w:fill="FAFAFA"/>
            <w:vAlign w:val="center"/>
          </w:tcPr>
          <w:p>
            <w:r/>
            <w:r>
              <w:rPr>
                <w:rFonts w:ascii="Arial" w:hAnsi="Arial"/>
                <w:b w:val="0"/>
                <w:color w:val="000000"/>
                <w:sz w:val="13"/>
              </w:rPr>
              <w:t>Complete tanker delivery acceptance record, source/vehicle evidence, tank ID, volume and responsible receiving signature.</w:t>
            </w:r>
          </w:p>
        </w:tc>
        <w:tc>
          <w:tcPr>
            <w:tcW w:type="dxa" w:w="2304"/>
            <w:shd w:fill="FAFAFA"/>
            <w:vAlign w:val="center"/>
          </w:tcPr>
          <w:p>
            <w:r/>
            <w:r>
              <w:rPr>
                <w:rFonts w:ascii="Arial" w:hAnsi="Arial"/>
                <w:b w:val="0"/>
                <w:color w:val="000000"/>
                <w:sz w:val="13"/>
              </w:rPr>
              <w:t>Reject/hold delivery; prevent transfer; report supplier/tanker issue; maintain water and food/ice quarantine as needed.</w:t>
            </w:r>
          </w:p>
        </w:tc>
      </w:tr>
      <w:tr>
        <w:tc>
          <w:tcPr>
            <w:tcW w:type="dxa" w:w="2448"/>
            <w:vAlign w:val="center"/>
          </w:tcPr>
          <w:p>
            <w:r/>
            <w:r>
              <w:rPr>
                <w:rFonts w:ascii="Arial" w:hAnsi="Arial"/>
                <w:b w:val="0"/>
                <w:color w:val="000000"/>
                <w:sz w:val="13"/>
              </w:rPr>
              <w:t>Every interruption, power failure, low-level event or suspected contamination</w:t>
            </w:r>
          </w:p>
        </w:tc>
        <w:tc>
          <w:tcPr>
            <w:tcW w:type="dxa" w:w="5112"/>
            <w:vAlign w:val="center"/>
          </w:tcPr>
          <w:p>
            <w:r/>
            <w:r>
              <w:rPr>
                <w:rFonts w:ascii="Arial" w:hAnsi="Arial"/>
                <w:b w:val="0"/>
                <w:color w:val="000000"/>
                <w:sz w:val="13"/>
              </w:rPr>
              <w:t>Duration, water level, backup/generator status, cold-chain/ice impact, food/batch exposure, emergency water source and communications.</w:t>
            </w:r>
          </w:p>
        </w:tc>
        <w:tc>
          <w:tcPr>
            <w:tcW w:type="dxa" w:w="2304"/>
            <w:vAlign w:val="center"/>
          </w:tcPr>
          <w:p>
            <w:r/>
            <w:r>
              <w:rPr>
                <w:rFonts w:ascii="Arial" w:hAnsi="Arial"/>
                <w:b w:val="0"/>
                <w:color w:val="000000"/>
                <w:sz w:val="13"/>
              </w:rPr>
              <w:t>Contain food/ice; assess and document disposition; restore only from verified source; complete incident/CAPA and notify if required.</w:t>
            </w:r>
          </w:p>
        </w:tc>
      </w:tr>
      <w:tr>
        <w:tc>
          <w:tcPr>
            <w:tcW w:type="dxa" w:w="2448"/>
            <w:shd w:fill="FAFAFA"/>
            <w:vAlign w:val="center"/>
          </w:tcPr>
          <w:p>
            <w:r/>
            <w:r>
              <w:rPr>
                <w:rFonts w:ascii="Arial" w:hAnsi="Arial"/>
                <w:b w:val="0"/>
                <w:color w:val="000000"/>
                <w:sz w:val="13"/>
              </w:rPr>
              <w:t>Per authority / risk-approved sampling plan</w:t>
            </w:r>
          </w:p>
        </w:tc>
        <w:tc>
          <w:tcPr>
            <w:tcW w:type="dxa" w:w="5112"/>
            <w:shd w:fill="FAFAFA"/>
            <w:vAlign w:val="center"/>
          </w:tcPr>
          <w:p>
            <w:r/>
            <w:r>
              <w:rPr>
                <w:rFonts w:ascii="Arial" w:hAnsi="Arial"/>
                <w:b w:val="0"/>
                <w:color w:val="000000"/>
                <w:sz w:val="13"/>
              </w:rPr>
              <w:t>Sampling point, date/time, laboratory, chain of custody, test group/parameter plan, certificate result, review, corrective action and notification.</w:t>
            </w:r>
          </w:p>
        </w:tc>
        <w:tc>
          <w:tcPr>
            <w:tcW w:type="dxa" w:w="2304"/>
            <w:shd w:fill="FAFAFA"/>
            <w:vAlign w:val="center"/>
          </w:tcPr>
          <w:p>
            <w:r/>
            <w:r>
              <w:rPr>
                <w:rFonts w:ascii="Arial" w:hAnsi="Arial"/>
                <w:b w:val="0"/>
                <w:color w:val="000000"/>
                <w:sz w:val="13"/>
              </w:rPr>
              <w:t>Escalate result outside approved criteria; isolate affected source/ice/food contact use; follow authority and laboratory/supplier direction.</w:t>
            </w:r>
          </w:p>
        </w:tc>
      </w:tr>
    </w:tbl>
    <w:p>
      <w:pPr>
        <w:spacing w:after="0"/>
      </w:pPr>
    </w:p>
    <w:p>
      <w:pPr>
        <w:pStyle w:val="Heading1"/>
      </w:pPr>
      <w:r>
        <w:t>5. Minimum Water Testing and Evidence File</w:t>
      </w:r>
    </w:p>
    <w:tbl>
      <w:tblPr>
        <w:tblStyle w:val="TableGrid"/>
        <w:tblW w:type="auto" w:w="0"/>
        <w:jc w:val="center"/>
        <w:tblLook w:firstColumn="1" w:firstRow="1" w:lastColumn="0" w:lastRow="0" w:noHBand="0" w:noVBand="1" w:val="04A0"/>
      </w:tblPr>
      <w:tblGrid>
        <w:gridCol w:w="3523"/>
        <w:gridCol w:w="3523"/>
        <w:gridCol w:w="3523"/>
      </w:tblGrid>
      <w:tr>
        <w:trPr>
          <w:tblHeader w:val="true"/>
        </w:trPr>
        <w:tc>
          <w:tcPr>
            <w:tcW w:type="dxa" w:w="2880"/>
            <w:shd w:fill="17365D"/>
            <w:vAlign w:val="center"/>
          </w:tcPr>
          <w:p>
            <w:pPr>
              <w:jc w:val="center"/>
            </w:pPr>
            <w:r/>
            <w:r>
              <w:rPr>
                <w:rFonts w:ascii="Arial" w:hAnsi="Arial"/>
                <w:b/>
                <w:color w:val="FFFFFF"/>
                <w:sz w:val="13"/>
              </w:rPr>
              <w:t>File component</w:t>
            </w:r>
          </w:p>
        </w:tc>
        <w:tc>
          <w:tcPr>
            <w:tcW w:type="dxa" w:w="4896"/>
            <w:shd w:fill="17365D"/>
            <w:vAlign w:val="center"/>
          </w:tcPr>
          <w:p>
            <w:pPr>
              <w:jc w:val="center"/>
            </w:pPr>
            <w:r/>
            <w:r>
              <w:rPr>
                <w:rFonts w:ascii="Arial" w:hAnsi="Arial"/>
                <w:b/>
                <w:color w:val="FFFFFF"/>
                <w:sz w:val="13"/>
              </w:rPr>
              <w:t>Purpose</w:t>
            </w:r>
          </w:p>
        </w:tc>
        <w:tc>
          <w:tcPr>
            <w:tcW w:type="dxa" w:w="2232"/>
            <w:shd w:fill="17365D"/>
            <w:vAlign w:val="center"/>
          </w:tcPr>
          <w:p>
            <w:pPr>
              <w:jc w:val="center"/>
            </w:pPr>
            <w:r/>
            <w:r>
              <w:rPr>
                <w:rFonts w:ascii="Arial" w:hAnsi="Arial"/>
                <w:b/>
                <w:color w:val="FFFFFF"/>
                <w:sz w:val="13"/>
              </w:rPr>
              <w:t>Owner</w:t>
            </w:r>
          </w:p>
        </w:tc>
      </w:tr>
      <w:tr>
        <w:tc>
          <w:tcPr>
            <w:tcW w:type="dxa" w:w="2880"/>
            <w:vAlign w:val="center"/>
          </w:tcPr>
          <w:p>
            <w:r/>
            <w:r>
              <w:rPr>
                <w:rFonts w:ascii="Arial" w:hAnsi="Arial"/>
                <w:b w:val="0"/>
                <w:color w:val="000000"/>
                <w:sz w:val="13"/>
              </w:rPr>
              <w:t>Approved water-safety / HACCP plan</w:t>
            </w:r>
          </w:p>
        </w:tc>
        <w:tc>
          <w:tcPr>
            <w:tcW w:type="dxa" w:w="4896"/>
            <w:vAlign w:val="center"/>
          </w:tcPr>
          <w:p>
            <w:r/>
            <w:r>
              <w:rPr>
                <w:rFonts w:ascii="Arial" w:hAnsi="Arial"/>
                <w:b w:val="0"/>
                <w:color w:val="000000"/>
                <w:sz w:val="13"/>
              </w:rPr>
              <w:t>Maps source, tanker, storage, ice and food-preparation exposure; states who samples/tests and the approved criteria/frequency.</w:t>
            </w:r>
          </w:p>
        </w:tc>
        <w:tc>
          <w:tcPr>
            <w:tcW w:type="dxa" w:w="2232"/>
            <w:vAlign w:val="center"/>
          </w:tcPr>
          <w:p>
            <w:r/>
            <w:r>
              <w:rPr>
                <w:rFonts w:ascii="Arial" w:hAnsi="Arial"/>
                <w:b w:val="0"/>
                <w:color w:val="000000"/>
                <w:sz w:val="13"/>
              </w:rPr>
              <w:t>Food Safety In-Charge</w:t>
            </w:r>
          </w:p>
        </w:tc>
      </w:tr>
      <w:tr>
        <w:tc>
          <w:tcPr>
            <w:tcW w:type="dxa" w:w="2880"/>
            <w:shd w:fill="FAFAFA"/>
            <w:vAlign w:val="center"/>
          </w:tcPr>
          <w:p>
            <w:r/>
            <w:r>
              <w:rPr>
                <w:rFonts w:ascii="Arial" w:hAnsi="Arial"/>
                <w:b w:val="0"/>
                <w:color w:val="000000"/>
                <w:sz w:val="13"/>
              </w:rPr>
              <w:t>Supplier and tanker approval file</w:t>
            </w:r>
          </w:p>
        </w:tc>
        <w:tc>
          <w:tcPr>
            <w:tcW w:type="dxa" w:w="4896"/>
            <w:shd w:fill="FAFAFA"/>
            <w:vAlign w:val="center"/>
          </w:tcPr>
          <w:p>
            <w:r/>
            <w:r>
              <w:rPr>
                <w:rFonts w:ascii="Arial" w:hAnsi="Arial"/>
                <w:b w:val="0"/>
                <w:color w:val="000000"/>
                <w:sz w:val="13"/>
              </w:rPr>
              <w:t>Permit/certification, intended-use confirmation, driver/vehicle register, source/filling-point details, provider sampling programme and certificates.</w:t>
            </w:r>
          </w:p>
        </w:tc>
        <w:tc>
          <w:tcPr>
            <w:tcW w:type="dxa" w:w="2232"/>
            <w:shd w:fill="FAFAFA"/>
            <w:vAlign w:val="center"/>
          </w:tcPr>
          <w:p>
            <w:r/>
            <w:r>
              <w:rPr>
                <w:rFonts w:ascii="Arial" w:hAnsi="Arial"/>
                <w:b w:val="0"/>
                <w:color w:val="000000"/>
                <w:sz w:val="13"/>
              </w:rPr>
              <w:t>Camp Manager / Procurement</w:t>
            </w:r>
          </w:p>
        </w:tc>
      </w:tr>
      <w:tr>
        <w:tc>
          <w:tcPr>
            <w:tcW w:type="dxa" w:w="2880"/>
            <w:vAlign w:val="center"/>
          </w:tcPr>
          <w:p>
            <w:r/>
            <w:r>
              <w:rPr>
                <w:rFonts w:ascii="Arial" w:hAnsi="Arial"/>
                <w:b w:val="0"/>
                <w:color w:val="000000"/>
                <w:sz w:val="13"/>
              </w:rPr>
              <w:t>Certificate of analysis register</w:t>
            </w:r>
          </w:p>
        </w:tc>
        <w:tc>
          <w:tcPr>
            <w:tcW w:type="dxa" w:w="4896"/>
            <w:vAlign w:val="center"/>
          </w:tcPr>
          <w:p>
            <w:r/>
            <w:r>
              <w:rPr>
                <w:rFonts w:ascii="Arial" w:hAnsi="Arial"/>
                <w:b w:val="0"/>
                <w:color w:val="000000"/>
                <w:sz w:val="13"/>
              </w:rPr>
              <w:t>Laboratory, sample point, date/time, chain of custody, parameter group, result/compliance, due date and linked CAPA.</w:t>
            </w:r>
          </w:p>
        </w:tc>
        <w:tc>
          <w:tcPr>
            <w:tcW w:type="dxa" w:w="2232"/>
            <w:vAlign w:val="center"/>
          </w:tcPr>
          <w:p>
            <w:r/>
            <w:r>
              <w:rPr>
                <w:rFonts w:ascii="Arial" w:hAnsi="Arial"/>
                <w:b w:val="0"/>
                <w:color w:val="000000"/>
                <w:sz w:val="13"/>
              </w:rPr>
              <w:t>Food Safety In-Charge</w:t>
            </w:r>
          </w:p>
        </w:tc>
      </w:tr>
      <w:tr>
        <w:tc>
          <w:tcPr>
            <w:tcW w:type="dxa" w:w="2880"/>
            <w:shd w:fill="FAFAFA"/>
            <w:vAlign w:val="center"/>
          </w:tcPr>
          <w:p>
            <w:r/>
            <w:r>
              <w:rPr>
                <w:rFonts w:ascii="Arial" w:hAnsi="Arial"/>
                <w:b w:val="0"/>
                <w:color w:val="000000"/>
                <w:sz w:val="13"/>
              </w:rPr>
              <w:t>Tank delivery log</w:t>
            </w:r>
          </w:p>
        </w:tc>
        <w:tc>
          <w:tcPr>
            <w:tcW w:type="dxa" w:w="4896"/>
            <w:shd w:fill="FAFAFA"/>
            <w:vAlign w:val="center"/>
          </w:tcPr>
          <w:p>
            <w:r/>
            <w:r>
              <w:rPr>
                <w:rFonts w:ascii="Arial" w:hAnsi="Arial"/>
                <w:b w:val="0"/>
                <w:color w:val="000000"/>
                <w:sz w:val="13"/>
              </w:rPr>
              <w:t>Every delivery’s source, tanker, driver, volume, receiving tank, visual acceptance, evidence reference and signature.</w:t>
            </w:r>
          </w:p>
        </w:tc>
        <w:tc>
          <w:tcPr>
            <w:tcW w:type="dxa" w:w="2232"/>
            <w:shd w:fill="FAFAFA"/>
            <w:vAlign w:val="center"/>
          </w:tcPr>
          <w:p>
            <w:r/>
            <w:r>
              <w:rPr>
                <w:rFonts w:ascii="Arial" w:hAnsi="Arial"/>
                <w:b w:val="0"/>
                <w:color w:val="000000"/>
                <w:sz w:val="13"/>
              </w:rPr>
              <w:t>Storekeeper / Receiver</w:t>
            </w:r>
          </w:p>
        </w:tc>
      </w:tr>
      <w:tr>
        <w:tc>
          <w:tcPr>
            <w:tcW w:type="dxa" w:w="2880"/>
            <w:vAlign w:val="center"/>
          </w:tcPr>
          <w:p>
            <w:r/>
            <w:r>
              <w:rPr>
                <w:rFonts w:ascii="Arial" w:hAnsi="Arial"/>
                <w:b w:val="0"/>
                <w:color w:val="000000"/>
                <w:sz w:val="13"/>
              </w:rPr>
              <w:t>Tank cleaning/disinfection and maintenance</w:t>
            </w:r>
          </w:p>
        </w:tc>
        <w:tc>
          <w:tcPr>
            <w:tcW w:type="dxa" w:w="4896"/>
            <w:vAlign w:val="center"/>
          </w:tcPr>
          <w:p>
            <w:r/>
            <w:r>
              <w:rPr>
                <w:rFonts w:ascii="Arial" w:hAnsi="Arial"/>
                <w:b w:val="0"/>
                <w:color w:val="000000"/>
                <w:sz w:val="13"/>
              </w:rPr>
              <w:t>Work order; service provider; method; pre/post condition; re-entry decision; photos and certificates where relevant.</w:t>
            </w:r>
          </w:p>
        </w:tc>
        <w:tc>
          <w:tcPr>
            <w:tcW w:type="dxa" w:w="2232"/>
            <w:vAlign w:val="center"/>
          </w:tcPr>
          <w:p>
            <w:r/>
            <w:r>
              <w:rPr>
                <w:rFonts w:ascii="Arial" w:hAnsi="Arial"/>
                <w:b w:val="0"/>
                <w:color w:val="000000"/>
                <w:sz w:val="13"/>
              </w:rPr>
              <w:t>Maintenance / Camp Manager</w:t>
            </w:r>
          </w:p>
        </w:tc>
      </w:tr>
      <w:tr>
        <w:tc>
          <w:tcPr>
            <w:tcW w:type="dxa" w:w="2880"/>
            <w:shd w:fill="FAFAFA"/>
            <w:vAlign w:val="center"/>
          </w:tcPr>
          <w:p>
            <w:r/>
            <w:r>
              <w:rPr>
                <w:rFonts w:ascii="Arial" w:hAnsi="Arial"/>
                <w:b w:val="0"/>
                <w:color w:val="000000"/>
                <w:sz w:val="13"/>
              </w:rPr>
              <w:t>Incident / water interruption file</w:t>
            </w:r>
          </w:p>
        </w:tc>
        <w:tc>
          <w:tcPr>
            <w:tcW w:type="dxa" w:w="4896"/>
            <w:shd w:fill="FAFAFA"/>
            <w:vAlign w:val="center"/>
          </w:tcPr>
          <w:p>
            <w:r/>
            <w:r>
              <w:rPr>
                <w:rFonts w:ascii="Arial" w:hAnsi="Arial"/>
                <w:b w:val="0"/>
                <w:color w:val="000000"/>
                <w:sz w:val="13"/>
              </w:rPr>
              <w:t>Water/ice/food impact, containment, authority/supplier contact, alternative supply, disposal/withdrawal and effectiveness review.</w:t>
            </w:r>
          </w:p>
        </w:tc>
        <w:tc>
          <w:tcPr>
            <w:tcW w:type="dxa" w:w="2232"/>
            <w:shd w:fill="FAFAFA"/>
            <w:vAlign w:val="center"/>
          </w:tcPr>
          <w:p>
            <w:r/>
            <w:r>
              <w:rPr>
                <w:rFonts w:ascii="Arial" w:hAnsi="Arial"/>
                <w:b w:val="0"/>
                <w:color w:val="000000"/>
                <w:sz w:val="13"/>
              </w:rPr>
              <w:t>HSE / Food Safety In-Charge</w:t>
            </w:r>
          </w:p>
        </w:tc>
      </w:tr>
    </w:tbl>
    <w:p>
      <w:pPr>
        <w:spacing w:after="0"/>
      </w:pPr>
    </w:p>
    <w:p>
      <w:pPr>
        <w:pStyle w:val="Heading1"/>
      </w:pPr>
      <w:r>
        <w:t>6. Decision Rule for Tests, Limits and Frequency</w:t>
      </w:r>
    </w:p>
    <w:p>
      <w:r>
        <w:t>Use only the current competent-authority standard, the authority-approved water-safety plan or supplier-responsible-entity specification to enter water-quality limits and test parameters. The DoE Schedule 2 values are sampling frequencies for regulated activities, not generic camp-kitchen critical limits. For Dubai, retrieve the current Arabic Guideline 17 and confirm its implementation with Dubai Municipality. For other emirates, seek the local municipality/health authority’s written requirements. When a result, odour, colour, sediment, source change or tanker integrity issue creates doubt, treat it as a food-safety deviation first and operate the event-response plan rather than waiting for routine testing.</w:t>
      </w:r>
    </w:p>
    <w:p>
      <w:pPr>
        <w:pStyle w:val="Heading1"/>
      </w:pPr>
      <w:r>
        <w:t>References</w:t>
      </w:r>
    </w:p>
    <w:tbl>
      <w:tblPr>
        <w:tblStyle w:val="TableGrid"/>
        <w:tblW w:type="auto" w:w="0"/>
        <w:jc w:val="center"/>
        <w:tblLook w:firstColumn="1" w:firstRow="1" w:lastColumn="0" w:lastRow="0" w:noHBand="0" w:noVBand="1" w:val="04A0"/>
      </w:tblPr>
      <w:tblGrid>
        <w:gridCol w:w="5285"/>
        <w:gridCol w:w="5285"/>
      </w:tblGrid>
      <w:tr>
        <w:trPr>
          <w:tblHeader w:val="true"/>
        </w:trPr>
        <w:tc>
          <w:tcPr>
            <w:tcW w:type="dxa" w:w="648"/>
            <w:shd w:fill="17365D"/>
            <w:vAlign w:val="center"/>
          </w:tcPr>
          <w:p>
            <w:pPr>
              <w:jc w:val="center"/>
            </w:pPr>
            <w:r/>
            <w:r>
              <w:rPr>
                <w:rFonts w:ascii="Arial" w:hAnsi="Arial"/>
                <w:b/>
                <w:color w:val="FFFFFF"/>
                <w:sz w:val="13"/>
              </w:rPr>
              <w:t>Ref.</w:t>
            </w:r>
          </w:p>
        </w:tc>
        <w:tc>
          <w:tcPr>
            <w:tcW w:type="dxa" w:w="9792"/>
            <w:shd w:fill="17365D"/>
            <w:vAlign w:val="center"/>
          </w:tcPr>
          <w:p>
            <w:pPr>
              <w:jc w:val="center"/>
            </w:pPr>
            <w:r/>
            <w:r>
              <w:rPr>
                <w:rFonts w:ascii="Arial" w:hAnsi="Arial"/>
                <w:b/>
                <w:color w:val="FFFFFF"/>
                <w:sz w:val="13"/>
              </w:rPr>
              <w:t>Official source</w:t>
            </w:r>
          </w:p>
        </w:tc>
      </w:tr>
      <w:tr>
        <w:tc>
          <w:tcPr>
            <w:tcW w:type="dxa" w:w="648"/>
            <w:vAlign w:val="center"/>
          </w:tcPr>
          <w:p>
            <w:r/>
            <w:r>
              <w:rPr>
                <w:rFonts w:ascii="Arial" w:hAnsi="Arial"/>
                <w:b w:val="0"/>
                <w:color w:val="000000"/>
                <w:sz w:val="13"/>
              </w:rPr>
              <w:t>[1]</w:t>
            </w:r>
          </w:p>
        </w:tc>
        <w:tc>
          <w:tcPr>
            <w:tcW w:type="dxa" w:w="9792"/>
            <w:vAlign w:val="center"/>
          </w:tcPr>
          <w:p>
            <w:r/>
            <w:r>
              <w:rPr>
                <w:rFonts w:ascii="Arial" w:hAnsi="Arial"/>
                <w:b w:val="0"/>
                <w:color w:val="000000"/>
                <w:sz w:val="13"/>
              </w:rPr>
              <w:t>Federal Law No. 10 of 2015 Concerning Food Safety: https://uaelegislation.gov.ae/en/legislations/1161/download</w:t>
            </w:r>
          </w:p>
        </w:tc>
      </w:tr>
      <w:tr>
        <w:tc>
          <w:tcPr>
            <w:tcW w:type="dxa" w:w="648"/>
            <w:shd w:fill="FAFAFA"/>
            <w:vAlign w:val="center"/>
          </w:tcPr>
          <w:p>
            <w:r/>
            <w:r>
              <w:rPr>
                <w:rFonts w:ascii="Arial" w:hAnsi="Arial"/>
                <w:b w:val="0"/>
                <w:color w:val="000000"/>
                <w:sz w:val="13"/>
              </w:rPr>
              <w:t>[2]</w:t>
            </w:r>
          </w:p>
        </w:tc>
        <w:tc>
          <w:tcPr>
            <w:tcW w:type="dxa" w:w="9792"/>
            <w:shd w:fill="FAFAFA"/>
            <w:vAlign w:val="center"/>
          </w:tcPr>
          <w:p>
            <w:r/>
            <w:r>
              <w:rPr>
                <w:rFonts w:ascii="Arial" w:hAnsi="Arial"/>
                <w:b w:val="0"/>
                <w:color w:val="000000"/>
                <w:sz w:val="13"/>
              </w:rPr>
              <w:t>Abu Dhabi DoE, Tankering Regulation for Water Tanker and Wastewater Services: https://www.doe.gov.ae/en/Media-Centre/News/Abu-Dhabi-Department-of-Energy-Issues-Tankering-Regulations-for-Water-Tanker-and-Wastewater-Services</w:t>
            </w:r>
          </w:p>
        </w:tc>
      </w:tr>
      <w:tr>
        <w:tc>
          <w:tcPr>
            <w:tcW w:type="dxa" w:w="648"/>
            <w:vAlign w:val="center"/>
          </w:tcPr>
          <w:p>
            <w:r/>
            <w:r>
              <w:rPr>
                <w:rFonts w:ascii="Arial" w:hAnsi="Arial"/>
                <w:b w:val="0"/>
                <w:color w:val="000000"/>
                <w:sz w:val="13"/>
              </w:rPr>
              <w:t>[3]</w:t>
            </w:r>
          </w:p>
        </w:tc>
        <w:tc>
          <w:tcPr>
            <w:tcW w:type="dxa" w:w="9792"/>
            <w:vAlign w:val="center"/>
          </w:tcPr>
          <w:p>
            <w:r/>
            <w:r>
              <w:rPr>
                <w:rFonts w:ascii="Arial" w:hAnsi="Arial"/>
                <w:b w:val="0"/>
                <w:color w:val="000000"/>
                <w:sz w:val="13"/>
              </w:rPr>
              <w:t>Abu Dhabi DoE, Water Quality Regulations 2021 Schedule 2 Amendment: https://www.doe.gov.ae/-/media/Project/DOE/Department-Of-Energy/Media-Center-Publications/Water-Quality-Regulations-Schedule-2-Ammendment.pdf</w:t>
            </w:r>
          </w:p>
        </w:tc>
      </w:tr>
      <w:tr>
        <w:tc>
          <w:tcPr>
            <w:tcW w:type="dxa" w:w="648"/>
            <w:shd w:fill="FAFAFA"/>
            <w:vAlign w:val="center"/>
          </w:tcPr>
          <w:p>
            <w:r/>
            <w:r>
              <w:rPr>
                <w:rFonts w:ascii="Arial" w:hAnsi="Arial"/>
                <w:b w:val="0"/>
                <w:color w:val="000000"/>
                <w:sz w:val="13"/>
              </w:rPr>
              <w:t>[4]</w:t>
            </w:r>
          </w:p>
        </w:tc>
        <w:tc>
          <w:tcPr>
            <w:tcW w:type="dxa" w:w="9792"/>
            <w:shd w:fill="FAFAFA"/>
            <w:vAlign w:val="center"/>
          </w:tcPr>
          <w:p>
            <w:r/>
            <w:r>
              <w:rPr>
                <w:rFonts w:ascii="Arial" w:hAnsi="Arial"/>
                <w:b w:val="0"/>
                <w:color w:val="000000"/>
                <w:sz w:val="13"/>
              </w:rPr>
              <w:t>Dubai Municipality, Health and Safety Technical Guidelines (Guidelines 17, 44 and 133): https://www.dm.gov.ae/municipality-business/technical-guidelines-list/</w:t>
            </w:r>
          </w:p>
        </w:tc>
      </w:tr>
    </w:tbl>
    <w:p>
      <w:pPr>
        <w:spacing w:after="0"/>
      </w:pPr>
    </w:p>
    <w:p>
      <w:r>
        <w:t>Source access date: 19-Aug-2026. Confirm current legislation, controlling Arabic text, local approvals, laboratory requirements and supplier responsibility prior to use.</w:t>
      </w:r>
    </w:p>
    <w:sectPr w:rsidR="00FC693F" w:rsidRPr="0006063C" w:rsidSect="00034616">
      <w:headerReference w:type="default" r:id="rId9"/>
      <w:footerReference w:type="default" r:id="rId10"/>
      <w:pgSz w:w="12240" w:h="15840"/>
      <w:pgMar w:top="749" w:right="835" w:bottom="749" w:left="83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404040"/>
        <w:sz w:val="14"/>
      </w:rPr>
      <w:t xml:space="preserve">Working water-compliance guide — authority conditions and supplier approvals prevail | Page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tblLook w:firstColumn="1" w:firstRow="1" w:lastColumn="0" w:lastRow="0" w:noHBand="0" w:noVBand="1" w:val="04A0"/>
    </w:tblPr>
    <w:tblGrid>
      <w:gridCol w:w="5256"/>
      <w:gridCol w:w="5256"/>
    </w:tblGrid>
    <w:tr>
      <w:tc>
        <w:tcPr>
          <w:tcW w:type="dxa" w:w="7488"/>
          <w:shd w:fill="17365D"/>
          <w:vAlign w:val="center"/>
        </w:tcPr>
        <w:p>
          <w:r/>
          <w:r>
            <w:rPr>
              <w:rFonts w:ascii="Arial" w:hAnsi="Arial"/>
              <w:b/>
              <w:color w:val="FFFFFF"/>
              <w:sz w:val="16"/>
            </w:rPr>
            <w:t>REMOTE CAMP KITCHEN — WATER AND TANKER COMPLIANCE</w:t>
          </w:r>
        </w:p>
      </w:tc>
      <w:tc>
        <w:tcPr>
          <w:tcW w:type="dxa" w:w="3024"/>
          <w:shd w:fill="007B84"/>
          <w:vAlign w:val="center"/>
        </w:tcPr>
        <w:p>
          <w:pPr>
            <w:jc w:val="right"/>
          </w:pPr>
          <w:r/>
          <w:r>
            <w:rPr>
              <w:rFonts w:ascii="Arial" w:hAnsi="Arial"/>
              <w:b/>
              <w:color w:val="FFFFFF"/>
              <w:sz w:val="15"/>
            </w:rPr>
            <w:t>UAE / DUBAI / ABU DHABI</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2" w:lineRule="auto"/>
    </w:pPr>
    <w:rPr>
      <w:rFonts w:ascii="Arial" w:hAnsi="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60"/>
      <w:outlineLvl w:val="0"/>
    </w:pPr>
    <w:rPr>
      <w:rFonts w:asciiTheme="majorHAnsi" w:eastAsiaTheme="majorEastAsia" w:hAnsiTheme="majorHAnsi" w:cstheme="majorBidi" w:ascii="Arial" w:hAnsi="Arial"/>
      <w:b/>
      <w:bCs/>
      <w:color w:val="17365D"/>
      <w:sz w:val="24"/>
      <w:szCs w:val="28"/>
    </w:rPr>
  </w:style>
  <w:style w:type="paragraph" w:styleId="Heading2">
    <w:name w:val="heading 2"/>
    <w:basedOn w:val="Normal"/>
    <w:next w:val="Normal"/>
    <w:link w:val="Heading2Char"/>
    <w:uiPriority w:val="9"/>
    <w:unhideWhenUsed/>
    <w:qFormat/>
    <w:rsid w:val="00FC693F"/>
    <w:pPr>
      <w:keepNext/>
      <w:keepLines/>
      <w:spacing w:before="160" w:after="60"/>
      <w:outlineLvl w:val="1"/>
    </w:pPr>
    <w:rPr>
      <w:rFonts w:asciiTheme="majorHAnsi" w:eastAsiaTheme="majorEastAsia" w:hAnsiTheme="majorHAnsi" w:cstheme="majorBidi" w:ascii="Arial" w:hAnsi="Arial"/>
      <w:b/>
      <w:bCs/>
      <w:color w:val="007B84"/>
      <w:sz w:val="2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60" w:line="240" w:lineRule="auto" w:before="160"/>
      <w:contextualSpacing/>
    </w:pPr>
    <w:rPr>
      <w:rFonts w:asciiTheme="majorHAnsi" w:eastAsiaTheme="majorEastAsia" w:hAnsiTheme="majorHAnsi" w:cstheme="majorBidi" w:ascii="Arial" w:hAnsi="Arial"/>
      <w:b/>
      <w:color w:val="17365D"/>
      <w:spacing w:val="5"/>
      <w:kern w:val="28"/>
      <w:sz w:val="3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