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53B5B"/>
          <w:sz w:val="36"/>
        </w:rPr>
        <w:t>LABORATORY CLEARANCE GUIDE AND</w:t>
        <w:br/>
        <w:t>SUPERVISOR FIT-TO-WORK TRAINING</w:t>
      </w:r>
    </w:p>
    <w:p>
      <w:pPr>
        <w:jc w:val="center"/>
      </w:pPr>
      <w:r>
        <w:rPr>
          <w:rFonts w:ascii="Arial" w:hAnsi="Arial"/>
          <w:i/>
          <w:color w:val="555555"/>
          <w:sz w:val="20"/>
        </w:rPr>
        <w:t>Group A Foodborne Outbreaks | Remote UAE Camp Kitchens</w:t>
      </w:r>
    </w:p>
    <w:tbl>
      <w:tblPr>
        <w:tblStyle w:val="TableGrid"/>
        <w:tblW w:type="auto" w:w="0"/>
        <w:jc w:val="center"/>
        <w:tblLook w:firstColumn="1" w:firstRow="1" w:lastColumn="0" w:lastRow="0" w:noHBand="0" w:noVBand="1" w:val="04A0"/>
      </w:tblPr>
      <w:tblGrid>
        <w:gridCol w:w="2714"/>
        <w:gridCol w:w="2714"/>
        <w:gridCol w:w="2714"/>
        <w:gridCol w:w="2714"/>
      </w:tblGrid>
      <w:tr>
        <w:tc>
          <w:tcPr>
            <w:tcW w:type="dxa" w:w="17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Document field</w:t>
            </w:r>
          </w:p>
        </w:tc>
        <w:tc>
          <w:tcPr>
            <w:tcW w:type="dxa" w:w="35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Detail</w:t>
            </w:r>
          </w:p>
        </w:tc>
        <w:tc>
          <w:tcPr>
            <w:tcW w:type="dxa" w:w="17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Document field</w:t>
            </w:r>
          </w:p>
        </w:tc>
        <w:tc>
          <w:tcPr>
            <w:tcW w:type="dxa" w:w="35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Detail</w:t>
            </w:r>
          </w:p>
        </w:tc>
      </w:tr>
      <w:tr>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Document ID</w:t>
            </w:r>
          </w:p>
        </w:tc>
        <w:tc>
          <w:tcPr>
            <w:tcW w:type="dxa" w:w="35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IM-HS-LAB-GB-A-002</w:t>
            </w:r>
          </w:p>
        </w:tc>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Revision</w:t>
            </w:r>
          </w:p>
        </w:tc>
        <w:tc>
          <w:tcPr>
            <w:tcW w:type="dxa" w:w="35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00</w:t>
            </w:r>
          </w:p>
        </w:tc>
      </w:tr>
      <w:tr>
        <w:tc>
          <w:tcPr>
            <w:tcW w:type="dxa" w:w="17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Owner</w:t>
            </w:r>
          </w:p>
        </w:tc>
        <w:tc>
          <w:tcPr>
            <w:tcW w:type="dxa" w:w="35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Food Safety In-Charge / HSE Manager</w:t>
            </w:r>
          </w:p>
        </w:tc>
        <w:tc>
          <w:tcPr>
            <w:tcW w:type="dxa" w:w="17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Review cycle</w:t>
            </w:r>
          </w:p>
        </w:tc>
        <w:tc>
          <w:tcPr>
            <w:tcW w:type="dxa" w:w="35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After authority instruction / annual</w:t>
            </w:r>
          </w:p>
        </w:tc>
      </w:tr>
      <w:tr>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Applies to</w:t>
            </w:r>
          </w:p>
        </w:tc>
        <w:tc>
          <w:tcPr>
            <w:tcW w:type="dxa" w:w="35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Camp supervisors, food handlers, clinic liaison and HR</w:t>
            </w:r>
          </w:p>
        </w:tc>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Approval</w:t>
            </w:r>
          </w:p>
        </w:tc>
        <w:tc>
          <w:tcPr>
            <w:tcW w:type="dxa" w:w="35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[Authorised signatory]</w:t>
            </w:r>
          </w:p>
        </w:tc>
      </w:tr>
      <w:tr>
        <w:tc>
          <w:tcPr>
            <w:tcW w:type="dxa" w:w="17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Training method</w:t>
            </w:r>
          </w:p>
        </w:tc>
        <w:tc>
          <w:tcPr>
            <w:tcW w:type="dxa" w:w="35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Briefing + supervised verbal-screening practice</w:t>
            </w:r>
          </w:p>
        </w:tc>
        <w:tc>
          <w:tcPr>
            <w:tcW w:type="dxa" w:w="17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Effective date</w:t>
            </w:r>
          </w:p>
        </w:tc>
        <w:tc>
          <w:tcPr>
            <w:tcW w:type="dxa" w:w="35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 date]</w:t>
            </w:r>
          </w:p>
        </w:tc>
      </w:tr>
    </w:tbl>
    <w:p>
      <w:pPr>
        <w:spacing w:after="40"/>
      </w:pPr>
    </w:p>
    <w:tbl>
      <w:tblPr>
        <w:tblW w:type="auto" w:w="0"/>
        <w:tblLook w:firstColumn="1" w:firstRow="1" w:lastColumn="0" w:lastRow="0" w:noHBand="0" w:noVBand="1" w:val="04A0"/>
      </w:tblPr>
      <w:tblGrid>
        <w:gridCol w:w="10858"/>
      </w:tblGrid>
      <w:tr>
        <w:tc>
          <w:tcPr>
            <w:tcW w:type="dxa" w:w="10858"/>
            <w:shd w:fill="FCE4D6"/>
            <w:tcBorders>
              <w:top w:val="single" w:sz="4" w:color="B7B7B7"/>
              <w:left w:val="single" w:sz="4" w:color="B7B7B7"/>
              <w:bottom w:val="single" w:sz="4" w:color="B7B7B7"/>
              <w:right w:val="single" w:sz="4" w:color="B7B7B7"/>
            </w:tcBorders>
          </w:tcPr>
          <w:p>
            <w:pPr>
              <w:spacing w:after="0"/>
            </w:pPr>
            <w:r/>
            <w:r>
              <w:rPr>
                <w:rFonts w:ascii="Arial" w:hAnsi="Arial"/>
                <w:b/>
                <w:sz w:val="16"/>
              </w:rPr>
              <w:t xml:space="preserve">Health boundary: </w:t>
            </w:r>
            <w:r>
              <w:rPr>
                <w:rFonts w:ascii="Arial" w:hAnsi="Arial"/>
                <w:sz w:val="16"/>
              </w:rPr>
              <w:t>This is an operational control and training guide, not a medical diagnosis or a specimen-collection procedure. Clinical specimens must be ordered, collected, labelled, transported and interpreted by the competent clinician/approved laboratory under Health Authority direction. A camp supervisor must never determine a test panel, collect a throat/stool sample, interpret a result or issue medical clearance.</w:t>
            </w:r>
          </w:p>
        </w:tc>
      </w:tr>
    </w:tbl>
    <w:p>
      <w:pPr>
        <w:spacing w:before="140" w:after="60"/>
      </w:pPr>
      <w:r>
        <w:rPr>
          <w:rFonts w:ascii="Arial" w:hAnsi="Arial"/>
          <w:b/>
          <w:color w:val="153B5B"/>
          <w:sz w:val="28"/>
        </w:rPr>
        <w:t>1. What the Current UAE Schedule States</w:t>
      </w:r>
    </w:p>
    <w:tbl>
      <w:tblPr>
        <w:tblStyle w:val="TableGrid"/>
        <w:tblW w:type="auto" w:w="0"/>
        <w:jc w:val="center"/>
        <w:tblLook w:firstColumn="1" w:firstRow="1" w:lastColumn="0" w:lastRow="0" w:noHBand="0" w:noVBand="1" w:val="04A0"/>
      </w:tblPr>
      <w:tblGrid>
        <w:gridCol w:w="3619"/>
        <w:gridCol w:w="3619"/>
        <w:gridCol w:w="3619"/>
      </w:tblGrid>
      <w:tr>
        <w:tc>
          <w:tcPr>
            <w:tcW w:type="dxa" w:w="208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Disease / situation</w:t>
            </w:r>
          </w:p>
        </w:tc>
        <w:tc>
          <w:tcPr>
            <w:tcW w:type="dxa" w:w="511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Published laboratory / surveillance condition</w:t>
            </w:r>
          </w:p>
        </w:tc>
        <w:tc>
          <w:tcPr>
            <w:tcW w:type="dxa" w:w="381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Operational camp implication</w:t>
            </w:r>
          </w:p>
        </w:tc>
      </w:tr>
      <w:tr>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Cholera</w:t>
            </w:r>
          </w:p>
        </w:tc>
        <w:tc>
          <w:tcPr>
            <w:tcW w:type="dxa" w:w="511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The published Table 2 refers to confirmation that the stool bacterial laboratory test is negative; it also specifies contact monitoring for persons sharing food/drink.</w:t>
            </w:r>
          </w:p>
        </w:tc>
        <w:tc>
          <w:tcPr>
            <w:tcW w:type="dxa" w:w="381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Use clinician/Health Authority instruction. Supervisor records only the restriction/clearance reference; do not collect or interpret stool samples.</w:t>
            </w:r>
          </w:p>
        </w:tc>
      </w:tr>
      <w:tr>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Salmonellosis</w:t>
            </w:r>
          </w:p>
        </w:tc>
        <w:tc>
          <w:tcPr>
            <w:tcW w:type="dxa" w:w="511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The published Table 2 states surveillance until two consecutive stool cultures are negative at a 24-hour interval, with the first at least 48 hours after treatment ends.</w:t>
            </w:r>
          </w:p>
        </w:tc>
        <w:tc>
          <w:tcPr>
            <w:tcW w:type="dxa" w:w="381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This is disease-specific. The clinician/Health Authority determines whether it applies to the worker and communicates the release conditions.</w:t>
            </w:r>
          </w:p>
        </w:tc>
      </w:tr>
      <w:tr>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Diphtheria</w:t>
            </w:r>
          </w:p>
        </w:tc>
        <w:tc>
          <w:tcPr>
            <w:tcW w:type="dxa" w:w="511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The published Table 2 states that isolation may be reduced after two negative nose/throat secretion cultures at least 24 hours apart, with the first at least 24 hours after antimicrobial therapy ends. Food-handling adult contacts are isolated until bacteriological tests show no carriage.</w:t>
            </w:r>
          </w:p>
        </w:tc>
        <w:tc>
          <w:tcPr>
            <w:tcW w:type="dxa" w:w="381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This is a throat/nasal secretions culture criterion for a named disease, not a generic gastrointestinal screening test. Follow the Health Authority’s directions.</w:t>
            </w:r>
          </w:p>
        </w:tc>
      </w:tr>
      <w:tr>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Any other Group A disease / unknown cause cluster</w:t>
            </w:r>
          </w:p>
        </w:tc>
        <w:tc>
          <w:tcPr>
            <w:tcW w:type="dxa" w:w="511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No universal post-outbreak stool or throat panel, sample count, collection method or return interval was identified in publicly accessible UAE guidance. The Health Authority/clinician decides from the suspected or confirmed disease, symptoms, exposures, investigation and current schedule.</w:t>
            </w:r>
          </w:p>
        </w:tc>
        <w:tc>
          <w:tcPr>
            <w:tcW w:type="dxa" w:w="381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Do not invent a generic clearance pathway. Maintain restriction, referral, evidence and clear authority contact records.</w:t>
            </w:r>
          </w:p>
        </w:tc>
      </w:tr>
    </w:tbl>
    <w:p>
      <w:pPr>
        <w:spacing w:after="40"/>
      </w:pPr>
    </w:p>
    <w:tbl>
      <w:tblPr>
        <w:tblW w:type="auto" w:w="0"/>
        <w:tblLook w:firstColumn="1" w:firstRow="1" w:lastColumn="0" w:lastRow="0" w:noHBand="0" w:noVBand="1" w:val="04A0"/>
      </w:tblPr>
      <w:tblGrid>
        <w:gridCol w:w="10858"/>
      </w:tblGrid>
      <w:tr>
        <w:tc>
          <w:tcPr>
            <w:tcW w:type="dxa" w:w="10858"/>
            <w:shd w:fill="FFF2CC"/>
            <w:tcBorders>
              <w:top w:val="single" w:sz="4" w:color="B7B7B7"/>
              <w:left w:val="single" w:sz="4" w:color="B7B7B7"/>
              <w:bottom w:val="single" w:sz="4" w:color="B7B7B7"/>
              <w:right w:val="single" w:sz="4" w:color="B7B7B7"/>
            </w:tcBorders>
          </w:tcPr>
          <w:p>
            <w:pPr>
              <w:spacing w:after="0"/>
            </w:pPr>
            <w:r/>
            <w:r>
              <w:rPr>
                <w:rFonts w:ascii="Arial" w:hAnsi="Arial"/>
                <w:b/>
                <w:sz w:val="16"/>
              </w:rPr>
              <w:t xml:space="preserve">Important interpretation: </w:t>
            </w:r>
            <w:r>
              <w:rPr>
                <w:rFonts w:ascii="Arial" w:hAnsi="Arial"/>
                <w:sz w:val="16"/>
              </w:rPr>
              <w:t>Group A is a legal disease-schedule classification, not a statement that every food handler needs every specimen type. “Food poisoning” is listed as Group A in the updated table, but the clinical investigation and testing route still depends on the probable/confirmed cause and Health Authority instruction.</w:t>
            </w:r>
          </w:p>
        </w:tc>
      </w:tr>
    </w:tbl>
    <w:p>
      <w:pPr>
        <w:spacing w:before="140" w:after="60"/>
      </w:pPr>
      <w:r>
        <w:rPr>
          <w:rFonts w:ascii="Arial" w:hAnsi="Arial"/>
          <w:b/>
          <w:color w:val="153B5B"/>
          <w:sz w:val="28"/>
        </w:rPr>
        <w:t>2. Required Authority-Controlled Clearance Workflow</w:t>
      </w:r>
    </w:p>
    <w:tbl>
      <w:tblPr>
        <w:tblStyle w:val="TableGrid"/>
        <w:tblW w:type="auto" w:w="0"/>
        <w:jc w:val="center"/>
        <w:tblLook w:firstColumn="1" w:firstRow="1" w:lastColumn="0" w:lastRow="0" w:noHBand="0" w:noVBand="1" w:val="04A0"/>
      </w:tblPr>
      <w:tblGrid>
        <w:gridCol w:w="3619"/>
        <w:gridCol w:w="3619"/>
        <w:gridCol w:w="3619"/>
      </w:tblGrid>
      <w:tr>
        <w:tc>
          <w:tcPr>
            <w:tcW w:type="dxa" w:w="144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Step</w:t>
            </w:r>
          </w:p>
        </w:tc>
        <w:tc>
          <w:tcPr>
            <w:tcW w:type="dxa" w:w="252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Responsible role</w:t>
            </w:r>
          </w:p>
        </w:tc>
        <w:tc>
          <w:tcPr>
            <w:tcW w:type="dxa" w:w="705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Required control / evidence</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1. Remove from food duties</w:t>
            </w:r>
          </w:p>
        </w:tc>
        <w:tc>
          <w:tcPr>
            <w:tcW w:type="dxa" w:w="25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Supervisor / Food Safety In-Charge</w:t>
            </w:r>
          </w:p>
        </w:tc>
        <w:tc>
          <w:tcPr>
            <w:tcW w:type="dxa" w:w="70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Immediately prevent reported unwell/restricted worker from food, ice, water, clean-equipment and utensil duties. Record time, work area and action—not medical detail.</w:t>
            </w:r>
          </w:p>
        </w:tc>
      </w:tr>
      <w:tr>
        <w:tc>
          <w:tcPr>
            <w:tcW w:type="dxa" w:w="144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2. Refer</w:t>
            </w:r>
          </w:p>
        </w:tc>
        <w:tc>
          <w:tcPr>
            <w:tcW w:type="dxa" w:w="252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Camp clinic / competent physician</w:t>
            </w:r>
          </w:p>
        </w:tc>
        <w:tc>
          <w:tcPr>
            <w:tcW w:type="dxa" w:w="70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Arrange clinical evaluation. The facility manager refers a suspected communicable-disease case to a competent physician under Federal Law No. 14.</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3. Determine testing</w:t>
            </w:r>
          </w:p>
        </w:tc>
        <w:tc>
          <w:tcPr>
            <w:tcW w:type="dxa" w:w="25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Clinician + Health Authority / approved laboratory</w:t>
            </w:r>
          </w:p>
        </w:tc>
        <w:tc>
          <w:tcPr>
            <w:tcW w:type="dxa" w:w="70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Select clinical specimen, pathogen-specific test and any re-test / clearance requirement. Issue laboratory requisition and health-authority case instructions.</w:t>
            </w:r>
          </w:p>
        </w:tc>
      </w:tr>
      <w:tr>
        <w:tc>
          <w:tcPr>
            <w:tcW w:type="dxa" w:w="144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4. Collect and transport</w:t>
            </w:r>
          </w:p>
        </w:tc>
        <w:tc>
          <w:tcPr>
            <w:tcW w:type="dxa" w:w="252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Authorised specimen collector / laboratory</w:t>
            </w:r>
          </w:p>
        </w:tc>
        <w:tc>
          <w:tcPr>
            <w:tcW w:type="dxa" w:w="70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Follow the laboratory’s current kit, labelling, packaging, transport, chain-of-custody and infection-control procedure. Camp staff facilitate logistics only.</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5. Record operational status</w:t>
            </w:r>
          </w:p>
        </w:tc>
        <w:tc>
          <w:tcPr>
            <w:tcW w:type="dxa" w:w="25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Supervisor / HR custodian</w:t>
            </w:r>
          </w:p>
        </w:tc>
        <w:tc>
          <w:tcPr>
            <w:tcW w:type="dxa" w:w="70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Keep restriction/exclusion record, referral/lab requisition reference and clinician/authority clearance reference. Store diagnosis/lab result details only in authorised health records.</w:t>
            </w:r>
          </w:p>
        </w:tc>
      </w:tr>
      <w:tr>
        <w:tc>
          <w:tcPr>
            <w:tcW w:type="dxa" w:w="144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6. Reintroduce</w:t>
            </w:r>
          </w:p>
        </w:tc>
        <w:tc>
          <w:tcPr>
            <w:tcW w:type="dxa" w:w="252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Clinician / Health Authority + authorised manager</w:t>
            </w:r>
          </w:p>
        </w:tc>
        <w:tc>
          <w:tcPr>
            <w:tcW w:type="dxa" w:w="70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Return only when all clinician/Health Authority conditions are met. Rebrief the employee on food hygiene and record the return-to-work authorisation.</w:t>
            </w:r>
          </w:p>
        </w:tc>
      </w:tr>
    </w:tbl>
    <w:p>
      <w:pPr>
        <w:spacing w:after="40"/>
      </w:pPr>
    </w:p>
    <w:p>
      <w:pPr>
        <w:spacing w:before="140" w:after="60"/>
      </w:pPr>
      <w:r>
        <w:rPr>
          <w:rFonts w:ascii="Arial" w:hAnsi="Arial"/>
          <w:b/>
          <w:color w:val="153B5B"/>
          <w:sz w:val="28"/>
        </w:rPr>
        <w:t>3. Specimen and Record Boundaries</w:t>
      </w:r>
    </w:p>
    <w:tbl>
      <w:tblPr>
        <w:tblStyle w:val="TableGrid"/>
        <w:tblW w:type="auto" w:w="0"/>
        <w:jc w:val="center"/>
        <w:tblLook w:firstColumn="1" w:firstRow="1" w:lastColumn="0" w:lastRow="0" w:noHBand="0" w:noVBand="1" w:val="04A0"/>
      </w:tblPr>
      <w:tblGrid>
        <w:gridCol w:w="3619"/>
        <w:gridCol w:w="3619"/>
        <w:gridCol w:w="3619"/>
      </w:tblGrid>
      <w:tr>
        <w:tc>
          <w:tcPr>
            <w:tcW w:type="dxa" w:w="194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Item</w:t>
            </w:r>
          </w:p>
        </w:tc>
        <w:tc>
          <w:tcPr>
            <w:tcW w:type="dxa" w:w="475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What supervisors must do</w:t>
            </w:r>
          </w:p>
        </w:tc>
        <w:tc>
          <w:tcPr>
            <w:tcW w:type="dxa" w:w="432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What supervisors must not do</w:t>
            </w:r>
          </w:p>
        </w:tc>
      </w:tr>
      <w:tr>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Stool sample</w:t>
            </w:r>
          </w:p>
        </w:tc>
        <w:tc>
          <w:tcPr>
            <w:tcW w:type="dxa" w:w="475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Arrange appointment/transport; preserve relevant exposure evidence; record authorised requisition reference and restriction status.</w:t>
            </w:r>
          </w:p>
        </w:tc>
        <w:tc>
          <w:tcPr>
            <w:tcW w:type="dxa" w:w="43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Provide a collection technique, decide timing/number of samples, handle sample containers, interpret culture/PCR results or demand a result outside clinician/authority direction.</w:t>
            </w:r>
          </w:p>
        </w:tc>
      </w:tr>
      <w:tr>
        <w:tc>
          <w:tcPr>
            <w:tcW w:type="dxa" w:w="19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Throat/nasal sample</w:t>
            </w:r>
          </w:p>
        </w:tc>
        <w:tc>
          <w:tcPr>
            <w:tcW w:type="dxa" w:w="475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Treat this as clinician/laboratory work; maintain food-duty restriction and record clearance reference.</w:t>
            </w:r>
          </w:p>
        </w:tc>
        <w:tc>
          <w:tcPr>
            <w:tcW w:type="dxa" w:w="432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Take swabs, select test medium, judge technique or clear a worker based on verbal claims.</w:t>
            </w:r>
          </w:p>
        </w:tc>
      </w:tr>
      <w:tr>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Laboratory result</w:t>
            </w:r>
          </w:p>
        </w:tc>
        <w:tc>
          <w:tcPr>
            <w:tcW w:type="dxa" w:w="475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Record outcome only as “clearance received / further restriction / pending authority” in operational system.</w:t>
            </w:r>
          </w:p>
        </w:tc>
        <w:tc>
          <w:tcPr>
            <w:tcW w:type="dxa" w:w="43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Copy diagnosis/lab values into kitchen files or disclose them beyond authorised health/HR/authority channels.</w:t>
            </w:r>
          </w:p>
        </w:tc>
      </w:tr>
      <w:tr>
        <w:tc>
          <w:tcPr>
            <w:tcW w:type="dxa" w:w="19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Authority directions</w:t>
            </w:r>
          </w:p>
        </w:tc>
        <w:tc>
          <w:tcPr>
            <w:tcW w:type="dxa" w:w="475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Time-stamp instruction, owner, due date and completion; provide requested exposure/trace-back information.</w:t>
            </w:r>
          </w:p>
        </w:tc>
        <w:tc>
          <w:tcPr>
            <w:tcW w:type="dxa" w:w="432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Substitute a supplier statement, internal test, informal message or supervisor assessment for authority clearance.</w:t>
            </w:r>
          </w:p>
        </w:tc>
      </w:tr>
    </w:tbl>
    <w:p>
      <w:pPr>
        <w:spacing w:after="40"/>
      </w:pPr>
    </w:p>
    <w:p>
      <w:pPr>
        <w:spacing w:before="140" w:after="60"/>
      </w:pPr>
      <w:r>
        <w:rPr>
          <w:rFonts w:ascii="Arial" w:hAnsi="Arial"/>
          <w:b/>
          <w:color w:val="153B5B"/>
          <w:sz w:val="28"/>
        </w:rPr>
        <w:t>4. Supervisor Training Matrix</w:t>
      </w:r>
    </w:p>
    <w:tbl>
      <w:tblPr>
        <w:tblStyle w:val="TableGrid"/>
        <w:tblW w:type="auto" w:w="0"/>
        <w:jc w:val="center"/>
        <w:tblLook w:firstColumn="1" w:firstRow="1" w:lastColumn="0" w:lastRow="0" w:noHBand="0" w:noVBand="1" w:val="04A0"/>
      </w:tblPr>
      <w:tblGrid>
        <w:gridCol w:w="1810"/>
        <w:gridCol w:w="1810"/>
        <w:gridCol w:w="1810"/>
        <w:gridCol w:w="1810"/>
        <w:gridCol w:w="1810"/>
        <w:gridCol w:w="1810"/>
      </w:tblGrid>
      <w:tr>
        <w:tc>
          <w:tcPr>
            <w:tcW w:type="dxa" w:w="187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Audience</w:t>
            </w:r>
          </w:p>
        </w:tc>
        <w:tc>
          <w:tcPr>
            <w:tcW w:type="dxa" w:w="302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Module</w:t>
            </w:r>
          </w:p>
        </w:tc>
        <w:tc>
          <w:tcPr>
            <w:tcW w:type="dxa" w:w="180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Frequency</w:t>
            </w:r>
          </w:p>
        </w:tc>
        <w:tc>
          <w:tcPr>
            <w:tcW w:type="dxa" w:w="100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Duration</w:t>
            </w:r>
          </w:p>
        </w:tc>
        <w:tc>
          <w:tcPr>
            <w:tcW w:type="dxa" w:w="158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Method</w:t>
            </w:r>
          </w:p>
        </w:tc>
        <w:tc>
          <w:tcPr>
            <w:tcW w:type="dxa" w:w="208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Competence check</w:t>
            </w:r>
          </w:p>
        </w:tc>
      </w:tr>
      <w:tr>
        <w:tc>
          <w:tcPr>
            <w:tcW w:type="dxa" w:w="187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Camp Manager / Incident Lead</w:t>
            </w:r>
          </w:p>
        </w:tc>
        <w:tc>
          <w:tcPr>
            <w:tcW w:type="dxa" w:w="302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Authority activation and confidentiality</w:t>
            </w:r>
          </w:p>
        </w:tc>
        <w:tc>
          <w:tcPr>
            <w:tcW w:type="dxa" w:w="180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Initial + annual + drill</w:t>
            </w:r>
          </w:p>
        </w:tc>
        <w:tc>
          <w:tcPr>
            <w:tcW w:type="dxa" w:w="100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20 min</w:t>
            </w:r>
          </w:p>
        </w:tc>
        <w:tc>
          <w:tcPr>
            <w:tcW w:type="dxa" w:w="158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Role play</w:t>
            </w:r>
          </w:p>
        </w:tc>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Can state who to call and preserves decision log.</w:t>
            </w:r>
          </w:p>
        </w:tc>
      </w:tr>
      <w:tr>
        <w:tc>
          <w:tcPr>
            <w:tcW w:type="dxa" w:w="187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Food Safety In-Charge</w:t>
            </w:r>
          </w:p>
        </w:tc>
        <w:tc>
          <w:tcPr>
            <w:tcW w:type="dxa" w:w="302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Food restrictions, trace-back and evidence control</w:t>
            </w:r>
          </w:p>
        </w:tc>
        <w:tc>
          <w:tcPr>
            <w:tcW w:type="dxa" w:w="180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Initial + annual + drill</w:t>
            </w:r>
          </w:p>
        </w:tc>
        <w:tc>
          <w:tcPr>
            <w:tcW w:type="dxa" w:w="100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30 min</w:t>
            </w:r>
          </w:p>
        </w:tc>
        <w:tc>
          <w:tcPr>
            <w:tcW w:type="dxa" w:w="158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Scenario review</w:t>
            </w:r>
          </w:p>
        </w:tc>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Can isolate food/water and provide exposure evidence.</w:t>
            </w:r>
          </w:p>
        </w:tc>
      </w:tr>
      <w:tr>
        <w:tc>
          <w:tcPr>
            <w:tcW w:type="dxa" w:w="187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Kitchen / Catering Supervisor</w:t>
            </w:r>
          </w:p>
        </w:tc>
        <w:tc>
          <w:tcPr>
            <w:tcW w:type="dxa" w:w="302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Daily verbal screen, immediate work restriction and escalation</w:t>
            </w:r>
          </w:p>
        </w:tc>
        <w:tc>
          <w:tcPr>
            <w:tcW w:type="dxa" w:w="180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Initial + quarterly refresh</w:t>
            </w:r>
          </w:p>
        </w:tc>
        <w:tc>
          <w:tcPr>
            <w:tcW w:type="dxa" w:w="100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25 min</w:t>
            </w:r>
          </w:p>
        </w:tc>
        <w:tc>
          <w:tcPr>
            <w:tcW w:type="dxa" w:w="158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Briefing + observed practice</w:t>
            </w:r>
          </w:p>
        </w:tc>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Uses script; does not diagnose or seek unnecessary medical detail.</w:t>
            </w:r>
          </w:p>
        </w:tc>
      </w:tr>
      <w:tr>
        <w:tc>
          <w:tcPr>
            <w:tcW w:type="dxa" w:w="187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Accommodation / Transport Supervisor</w:t>
            </w:r>
          </w:p>
        </w:tc>
        <w:tc>
          <w:tcPr>
            <w:tcW w:type="dxa" w:w="302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Welfare, restricted access and referral support</w:t>
            </w:r>
          </w:p>
        </w:tc>
        <w:tc>
          <w:tcPr>
            <w:tcW w:type="dxa" w:w="180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Initial + annual + drill</w:t>
            </w:r>
          </w:p>
        </w:tc>
        <w:tc>
          <w:tcPr>
            <w:tcW w:type="dxa" w:w="100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20 min</w:t>
            </w:r>
          </w:p>
        </w:tc>
        <w:tc>
          <w:tcPr>
            <w:tcW w:type="dxa" w:w="158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Scenario review</w:t>
            </w:r>
          </w:p>
        </w:tc>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Can arrange safe referral and communicate need-to-know information.</w:t>
            </w:r>
          </w:p>
        </w:tc>
      </w:tr>
      <w:tr>
        <w:tc>
          <w:tcPr>
            <w:tcW w:type="dxa" w:w="187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HR / Confidential Record Custodian</w:t>
            </w:r>
          </w:p>
        </w:tc>
        <w:tc>
          <w:tcPr>
            <w:tcW w:type="dxa" w:w="302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Privacy, restriction status and clearance records</w:t>
            </w:r>
          </w:p>
        </w:tc>
        <w:tc>
          <w:tcPr>
            <w:tcW w:type="dxa" w:w="180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Initial + annual</w:t>
            </w:r>
          </w:p>
        </w:tc>
        <w:tc>
          <w:tcPr>
            <w:tcW w:type="dxa" w:w="100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20 min</w:t>
            </w:r>
          </w:p>
        </w:tc>
        <w:tc>
          <w:tcPr>
            <w:tcW w:type="dxa" w:w="158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Record exercise</w:t>
            </w:r>
          </w:p>
        </w:tc>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Maintains restricted records and avoids clinical disclosure.</w:t>
            </w:r>
          </w:p>
        </w:tc>
      </w:tr>
      <w:tr>
        <w:tc>
          <w:tcPr>
            <w:tcW w:type="dxa" w:w="187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Food handlers</w:t>
            </w:r>
          </w:p>
        </w:tc>
        <w:tc>
          <w:tcPr>
            <w:tcW w:type="dxa" w:w="302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Symptom reporting, food duty stop and hygiene</w:t>
            </w:r>
          </w:p>
        </w:tc>
        <w:tc>
          <w:tcPr>
            <w:tcW w:type="dxa" w:w="180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Induction + refresher after cluster</w:t>
            </w:r>
          </w:p>
        </w:tc>
        <w:tc>
          <w:tcPr>
            <w:tcW w:type="dxa" w:w="100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15 min</w:t>
            </w:r>
          </w:p>
        </w:tc>
        <w:tc>
          <w:tcPr>
            <w:tcW w:type="dxa" w:w="158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Toolbox talk</w:t>
            </w:r>
          </w:p>
        </w:tc>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Reports promptly and stops food work when unwell/restricted.</w:t>
            </w:r>
          </w:p>
        </w:tc>
      </w:tr>
    </w:tbl>
    <w:p>
      <w:pPr>
        <w:spacing w:after="40"/>
      </w:pPr>
    </w:p>
    <w:p>
      <w:pPr>
        <w:spacing w:before="140" w:after="60"/>
      </w:pPr>
      <w:r>
        <w:rPr>
          <w:rFonts w:ascii="Arial" w:hAnsi="Arial"/>
          <w:b/>
          <w:color w:val="153B5B"/>
          <w:sz w:val="28"/>
        </w:rPr>
        <w:t>5. Five-Minute Daily Fit-to-Work Briefing Script</w:t>
      </w:r>
    </w:p>
    <w:tbl>
      <w:tblPr>
        <w:tblStyle w:val="TableGrid"/>
        <w:tblW w:type="auto" w:w="0"/>
        <w:jc w:val="center"/>
        <w:tblLook w:firstColumn="1" w:firstRow="1" w:lastColumn="0" w:lastRow="0" w:noHBand="0" w:noVBand="1" w:val="04A0"/>
      </w:tblPr>
      <w:tblGrid>
        <w:gridCol w:w="5429"/>
        <w:gridCol w:w="5429"/>
      </w:tblGrid>
      <w:tr>
        <w:tc>
          <w:tcPr>
            <w:tcW w:type="dxa" w:w="194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Briefing step</w:t>
            </w:r>
          </w:p>
        </w:tc>
        <w:tc>
          <w:tcPr>
            <w:tcW w:type="dxa" w:w="914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Supervisor script</w:t>
            </w:r>
          </w:p>
        </w:tc>
      </w:tr>
      <w:tr>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1. Opening — 30 sec</w:t>
            </w:r>
          </w:p>
        </w:tc>
        <w:tc>
          <w:tcPr>
            <w:tcW w:type="dxa" w:w="91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“Before food work starts, we check that everyone is fit to work. This is about protecting your health, your colleagues and our customers. Tell us early if you feel unwell. You will not be asked to diagnose yourself.”</w:t>
            </w:r>
          </w:p>
        </w:tc>
      </w:tr>
      <w:tr>
        <w:tc>
          <w:tcPr>
            <w:tcW w:type="dxa" w:w="19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2. Screening prompt — 90 sec</w:t>
            </w:r>
          </w:p>
        </w:tc>
        <w:tc>
          <w:tcPr>
            <w:tcW w:type="dxa" w:w="91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“Please tell your supervisor now, privately, if you are unwell today; if you have had vomiting, diarrhoea or stomach illness symptoms; if a doctor/clinic has told you not to work; or if you have a current work restriction related to an illness or outbreak. You do not need to explain your diagnosis to the kitchen team.”</w:t>
            </w:r>
          </w:p>
        </w:tc>
      </w:tr>
      <w:tr>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3. Required response — 60 sec</w:t>
            </w:r>
          </w:p>
        </w:tc>
        <w:tc>
          <w:tcPr>
            <w:tcW w:type="dxa" w:w="91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“If you report a concern, stop food work immediately. Do not handle food, ice, drinking water, clean utensils or clean equipment. Your supervisor will arrange a private referral through the camp health route and record only the operational decision.”</w:t>
            </w:r>
          </w:p>
        </w:tc>
      </w:tr>
      <w:tr>
        <w:tc>
          <w:tcPr>
            <w:tcW w:type="dxa" w:w="19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4. Early signs — 60 sec</w:t>
            </w:r>
          </w:p>
        </w:tc>
        <w:tc>
          <w:tcPr>
            <w:tcW w:type="dxa" w:w="91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“Early concerns can include feeling suddenly unwell, vomiting, diarrhoea, stomach cramps, fever with stomach symptoms, or a clinic instruction. Report early even if you are unsure. Early reporting protects everyone and helps us respond quickly.”</w:t>
            </w:r>
          </w:p>
        </w:tc>
      </w:tr>
      <w:tr>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5. Hygiene reminder — 30 sec</w:t>
            </w:r>
          </w:p>
        </w:tc>
        <w:tc>
          <w:tcPr>
            <w:tcW w:type="dxa" w:w="91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“Wash hands correctly and use toilets/welfare facilities properly. If an area needs cleaning after illness, do not clean it unless you are assigned and trained; inform the supervisor so evidence and cleaning controls are managed safely.”</w:t>
            </w:r>
          </w:p>
        </w:tc>
      </w:tr>
      <w:tr>
        <w:tc>
          <w:tcPr>
            <w:tcW w:type="dxa" w:w="19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6. Close — 30 sec</w:t>
            </w:r>
          </w:p>
        </w:tc>
        <w:tc>
          <w:tcPr>
            <w:tcW w:type="dxa" w:w="91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“There is no penalty for reporting early. Your supervisor will treat health information respectfully and confidentially. If you are restricted or referred, return to food work only when you have the required authorised clearance.”</w:t>
            </w:r>
          </w:p>
        </w:tc>
      </w:tr>
    </w:tbl>
    <w:p>
      <w:pPr>
        <w:spacing w:after="40"/>
      </w:pPr>
    </w:p>
    <w:p>
      <w:pPr>
        <w:spacing w:before="140" w:after="60"/>
      </w:pPr>
      <w:r>
        <w:rPr>
          <w:rFonts w:ascii="Arial" w:hAnsi="Arial"/>
          <w:b/>
          <w:color w:val="153B5B"/>
          <w:sz w:val="28"/>
        </w:rPr>
        <w:t>6. Supervisor Verbal Screen: Use and Escalation</w:t>
      </w:r>
    </w:p>
    <w:tbl>
      <w:tblPr>
        <w:tblStyle w:val="TableGrid"/>
        <w:tblW w:type="auto" w:w="0"/>
        <w:jc w:val="center"/>
        <w:tblLook w:firstColumn="1" w:firstRow="1" w:lastColumn="0" w:lastRow="0" w:noHBand="0" w:noVBand="1" w:val="04A0"/>
      </w:tblPr>
      <w:tblGrid>
        <w:gridCol w:w="5429"/>
        <w:gridCol w:w="5429"/>
      </w:tblGrid>
      <w:tr>
        <w:tc>
          <w:tcPr>
            <w:tcW w:type="dxa" w:w="554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Do</w:t>
            </w:r>
          </w:p>
        </w:tc>
        <w:tc>
          <w:tcPr>
            <w:tcW w:type="dxa" w:w="554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Do not</w:t>
            </w:r>
          </w:p>
        </w:tc>
      </w:tr>
      <w:tr>
        <w:tc>
          <w:tcPr>
            <w:tcW w:type="dxa" w:w="55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Ask the standard prompt privately and consistently; listen without judgement; take immediate operational action if a concern is raised.</w:t>
            </w:r>
          </w:p>
        </w:tc>
        <w:tc>
          <w:tcPr>
            <w:tcW w:type="dxa" w:w="55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Do not ask for diagnosis, medication, test result, pregnancy information or unrelated health history.</w:t>
            </w:r>
          </w:p>
        </w:tc>
      </w:tr>
      <w:tr>
        <w:tc>
          <w:tcPr>
            <w:tcW w:type="dxa" w:w="55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Record date/time, employee ID, role, whether work was stopped, referral route, responsible supervisor and clearance/restriction reference.</w:t>
            </w:r>
          </w:p>
        </w:tc>
        <w:tc>
          <w:tcPr>
            <w:tcW w:type="dxa" w:w="55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Do not record symptoms in a public roster, share information with co-workers or tell staff why another employee is absent.</w:t>
            </w:r>
          </w:p>
        </w:tc>
      </w:tr>
      <w:tr>
        <w:tc>
          <w:tcPr>
            <w:tcW w:type="dxa" w:w="55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Escalate credible cluster indicators to the Incident Lead, Food Safety In-Charge and clinic route; preserve food/water/ice and exposure records.</w:t>
            </w:r>
          </w:p>
        </w:tc>
        <w:tc>
          <w:tcPr>
            <w:tcW w:type="dxa" w:w="55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Do not wait for a test result before restricting food duties or stopping a credible affected food/water process.</w:t>
            </w:r>
          </w:p>
        </w:tc>
      </w:tr>
      <w:tr>
        <w:tc>
          <w:tcPr>
            <w:tcW w:type="dxa" w:w="55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Use clinician/Health Authority clearance conditions exactly as received.</w:t>
            </w:r>
          </w:p>
        </w:tc>
        <w:tc>
          <w:tcPr>
            <w:tcW w:type="dxa" w:w="554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Do not decide that a negative verbal claim, a supplier statement or a generic time period is sufficient for return.</w:t>
            </w:r>
          </w:p>
        </w:tc>
      </w:tr>
    </w:tbl>
    <w:p>
      <w:pPr>
        <w:spacing w:after="40"/>
      </w:pPr>
    </w:p>
    <w:p>
      <w:pPr>
        <w:spacing w:before="140" w:after="60"/>
      </w:pPr>
      <w:r>
        <w:rPr>
          <w:rFonts w:ascii="Arial" w:hAnsi="Arial"/>
          <w:b/>
          <w:color w:val="153B5B"/>
          <w:sz w:val="28"/>
        </w:rPr>
        <w:t>7. Source Register and Implementation Limitation</w:t>
      </w:r>
    </w:p>
    <w:tbl>
      <w:tblPr>
        <w:tblStyle w:val="TableGrid"/>
        <w:tblW w:type="auto" w:w="0"/>
        <w:jc w:val="center"/>
        <w:tblLook w:firstColumn="1" w:firstRow="1" w:lastColumn="0" w:lastRow="0" w:noHBand="0" w:noVBand="1" w:val="04A0"/>
      </w:tblPr>
      <w:tblGrid>
        <w:gridCol w:w="3619"/>
        <w:gridCol w:w="3619"/>
        <w:gridCol w:w="3619"/>
      </w:tblGrid>
      <w:tr>
        <w:tc>
          <w:tcPr>
            <w:tcW w:type="dxa" w:w="72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Ref.</w:t>
            </w:r>
          </w:p>
        </w:tc>
        <w:tc>
          <w:tcPr>
            <w:tcW w:type="dxa" w:w="561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Authority / relevance</w:t>
            </w:r>
          </w:p>
        </w:tc>
        <w:tc>
          <w:tcPr>
            <w:tcW w:type="dxa" w:w="518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Source</w:t>
            </w:r>
          </w:p>
        </w:tc>
      </w:tr>
      <w:tr>
        <w:tc>
          <w:tcPr>
            <w:tcW w:type="dxa" w:w="7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[1]</w:t>
            </w:r>
          </w:p>
        </w:tc>
        <w:tc>
          <w:tcPr>
            <w:tcW w:type="dxa" w:w="561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Updated communicable-disease table: Group A/Group B diseases and disease-specific isolation/surveillance conditions.</w:t>
            </w:r>
          </w:p>
        </w:tc>
        <w:tc>
          <w:tcPr>
            <w:tcW w:type="dxa" w:w="518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https://uaelegislation.gov.ae/en/legislations/1198/regulations/563/download</w:t>
            </w:r>
          </w:p>
        </w:tc>
      </w:tr>
      <w:tr>
        <w:tc>
          <w:tcPr>
            <w:tcW w:type="dxa" w:w="72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[2]</w:t>
            </w:r>
          </w:p>
        </w:tc>
        <w:tc>
          <w:tcPr>
            <w:tcW w:type="dxa" w:w="561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Federal Law No. 14 of 2014: manager referral, notification, health-authority investigation and return conditions.</w:t>
            </w:r>
          </w:p>
        </w:tc>
        <w:tc>
          <w:tcPr>
            <w:tcW w:type="dxa" w:w="5184"/>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https://uaelegislation.gov.ae/en/legislations/1198</w:t>
            </w:r>
          </w:p>
        </w:tc>
      </w:tr>
      <w:tr>
        <w:tc>
          <w:tcPr>
            <w:tcW w:type="dxa" w:w="7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[3]</w:t>
            </w:r>
          </w:p>
        </w:tc>
        <w:tc>
          <w:tcPr>
            <w:tcW w:type="dxa" w:w="561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Executive Regulations: designated reporting forms, Health Authority reporting routes and urgent telephone confirmation.</w:t>
            </w:r>
          </w:p>
        </w:tc>
        <w:tc>
          <w:tcPr>
            <w:tcW w:type="dxa" w:w="518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https://uaelegislation.gov.ae/en/legislations/1197</w:t>
            </w:r>
          </w:p>
        </w:tc>
      </w:tr>
    </w:tbl>
    <w:p>
      <w:pPr>
        <w:spacing w:after="40"/>
      </w:pPr>
    </w:p>
    <w:tbl>
      <w:tblPr>
        <w:tblW w:type="auto" w:w="0"/>
        <w:tblLook w:firstColumn="1" w:firstRow="1" w:lastColumn="0" w:lastRow="0" w:noHBand="0" w:noVBand="1" w:val="04A0"/>
      </w:tblPr>
      <w:tblGrid>
        <w:gridCol w:w="10858"/>
      </w:tblGrid>
      <w:tr>
        <w:tc>
          <w:tcPr>
            <w:tcW w:type="dxa" w:w="10858"/>
            <w:shd w:fill="FCE4D6"/>
            <w:tcBorders>
              <w:top w:val="single" w:sz="4" w:color="B7B7B7"/>
              <w:left w:val="single" w:sz="4" w:color="B7B7B7"/>
              <w:bottom w:val="single" w:sz="4" w:color="B7B7B7"/>
              <w:right w:val="single" w:sz="4" w:color="B7B7B7"/>
            </w:tcBorders>
          </w:tcPr>
          <w:p>
            <w:pPr>
              <w:spacing w:after="0"/>
            </w:pPr>
            <w:r/>
            <w:r>
              <w:rPr>
                <w:rFonts w:ascii="Arial" w:hAnsi="Arial"/>
                <w:b/>
                <w:sz w:val="16"/>
              </w:rPr>
              <w:t xml:space="preserve">Before use: </w:t>
            </w:r>
            <w:r>
              <w:rPr>
                <w:rFonts w:ascii="Arial" w:hAnsi="Arial"/>
                <w:sz w:val="16"/>
              </w:rPr>
              <w:t>Insert the camp’s designated clinic, local Health Authority contact, food authority contact, laboratory service, transfer arrangement, confidentiality custodian and client escalation route. This document must be aligned to the current disease-specific Health Authority case instruction before deployment.</w:t>
            </w:r>
          </w:p>
        </w:tc>
      </w:tr>
    </w:tbl>
    <w:sectPr w:rsidR="00FC693F" w:rsidRPr="0006063C" w:rsidSect="00034616">
      <w:headerReference w:type="default" r:id="rId9"/>
      <w:footerReference w:type="default" r:id="rId10"/>
      <w:pgSz w:w="12240" w:h="15840"/>
      <w:pgMar w:top="691" w:right="691" w:bottom="648"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4"/>
      </w:rPr>
      <w:t xml:space="preserve">Lab clearance and supervisor fit-to-work training | Controlled copy | Page </w:t>
    </w:r>
    <w:fldChar w:fldCharType="begin"/>
    <w:instrText xml:space="preserve">PAGE</w:instrText>
    <w:fldChar w:fldCharType="end"/>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256"/>
      <w:gridCol w:w="5256"/>
    </w:tblGrid>
    <w:tr>
      <w:tc>
        <w:tcPr>
          <w:tcW w:type="dxa" w:w="5256"/>
          <w:shd w:fill="153B5B"/>
          <w:vAlign w:val="center"/>
        </w:tcPr>
        <w:p>
          <w:pPr>
            <w:spacing w:after="0"/>
          </w:pPr>
          <w:r/>
          <w:r>
            <w:rPr>
              <w:rFonts w:ascii="Arial" w:hAnsi="Arial"/>
              <w:b/>
              <w:color w:val="FFFFFF"/>
              <w:sz w:val="14"/>
            </w:rPr>
            <w:t>REMOTE CAMP KITCHEN — LAB CLEARANCE &amp; FIT-TO-WORK TRAINING</w:t>
          </w:r>
        </w:p>
      </w:tc>
      <w:tc>
        <w:tcPr>
          <w:tcW w:type="dxa" w:w="5256"/>
          <w:shd w:fill="008C95"/>
          <w:vAlign w:val="center"/>
        </w:tcPr>
        <w:p>
          <w:pPr>
            <w:spacing w:after="0"/>
          </w:pPr>
          <w:r/>
          <w:r>
            <w:rPr>
              <w:rFonts w:ascii="Arial" w:hAnsi="Arial"/>
              <w:b/>
              <w:color w:val="FFFFFF"/>
              <w:sz w:val="14"/>
            </w:rPr>
            <w:t>INTERMASS WORKING DOCUMENT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