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ptos Display" w:hAnsi="Aptos Display"/>
          <w:b/>
          <w:color w:val="17365D"/>
          <w:sz w:val="38"/>
        </w:rPr>
        <w:t>CRANE SUBCONTRACTOR HANDOVER CHECKLIST</w:t>
      </w:r>
    </w:p>
    <w:p>
      <w:pPr>
        <w:jc w:val="center"/>
      </w:pPr>
      <w:r>
        <w:rPr>
          <w:rFonts w:ascii="Aptos" w:hAnsi="Aptos"/>
          <w:i/>
          <w:color w:val="1F4E78"/>
          <w:sz w:val="22"/>
        </w:rPr>
        <w:t>Erection, Dismantling and Third-Party Load-Testing Certification — Dubai and Abu Dhabi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vAlign w:val="top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7"/>
              </w:rPr>
              <w:t>Document control</w:t>
            </w:r>
          </w:p>
        </w:tc>
        <w:tc>
          <w:tcPr>
            <w:tcW w:type="dxa" w:w="5328"/>
            <w:vAlign w:val="top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7"/>
              </w:rPr>
              <w:t>Detail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Status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Controlled subcontractor handover package — complete site-specific fields and secure competent/authority review before issue.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Version / date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1.0 / 24 August 2026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Applies to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Tower cranes and associated erection/dismantling support lifting equipment on Dubai or Abu Dhabi projects.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Handover stages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Pre-mobilisation; pre-erection; erection/commissioning; independent examination/load test; operational handover; pre-dismantling; dismantling close-out.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Primary owners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Principal contractor, crane owner/erection subcontractor, appointed person/lifting manager, temporary works coordinator, HSE manager, independent inspection body and consultant.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Review triggers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Authority/free-zone change; model/configuration/tie/climb change; major repair; incident; load test; permit expiry; change in subcontractor or inspection provider.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vAlign w:val="top"/>
            <w:shd w:fill="C00000"/>
          </w:tcPr>
          <w:p>
            <w:r/>
            <w:r>
              <w:rPr>
                <w:rFonts w:ascii="Aptos" w:hAnsi="Aptos"/>
                <w:b/>
                <w:color w:val="FFFFFF"/>
                <w:sz w:val="17"/>
              </w:rPr>
              <w:t>Critical limitation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This document is a structured handover and evidence-control checklist, not an erection, dismantling or load-testing method statement. The manufacturer’s current manual, engineered foundation/tie/climbing/dismantling design, authority conditions, approved RAMS and independent inspection-body requirements prevail. No crane may erect, climb, operate, dismantle or return to service on the strength of an incomplete checklist.</w:t>
            </w:r>
          </w:p>
        </w:tc>
      </w:tr>
    </w:tbl>
    <w:p/>
    <w:p>
      <w:pPr>
        <w:pStyle w:val="Heading1"/>
      </w:pPr>
      <w:r>
        <w:rPr>
          <w:rFonts w:ascii="Aptos Display" w:hAnsi="Aptos Display"/>
          <w:color w:val="17365D"/>
        </w:rPr>
        <w:t>1. Authority and Certification Baseline</w:t>
      </w:r>
    </w:p>
    <w:p>
      <w:pPr>
        <w:spacing w:after="100"/>
      </w:pPr>
      <w:r>
        <w:rPr>
          <w:rFonts w:ascii="Aptos" w:hAnsi="Aptos"/>
          <w:sz w:val="20"/>
        </w:rPr>
        <w:t>The exact plot determines the authority stack. For mainland Abu Dhabi, Abu Dhabi City Municipality Circular No. 001/2021 requires an installation permit and adherence to approved MEPS drawings, confirms annual approved third-party inspection, six-month lifting-gear inspection, daily/weekly competent-person inspection and monthly third-party maintenance. [1] Dubai projects must confirm the current Dubai Municipality technical/examination conditions, Dubai Civil Defence requirements and the DCAA crane/aviation route where applicable. The federal ENAS ETR 06 source treats cranes as Class A1 lifting machines and describes inspection-body competence, tests, certificates and records. [2]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vAlign w:val="top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7"/>
              </w:rPr>
              <w:t>Location / authority route</w:t>
            </w:r>
          </w:p>
        </w:tc>
        <w:tc>
          <w:tcPr>
            <w:tcW w:type="dxa" w:w="5328"/>
            <w:vAlign w:val="top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7"/>
              </w:rPr>
              <w:t>Handover condition before release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Abu Dhabi mainland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ADM/DMT crane installation permit and approved drawings; authority-accepted inspection/maintenance evidence; plot-boundary, anti-collision and aviation requirements confirmed. [1]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Dubai mainland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Current Dubai Municipality construction/crane-examination route confirmed; DCAA/airport condition reviewed for exact location/height; Civil Defence/developer conditions integrated. [3] [4]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Dubai/Abu Dhabi special zone, port or master developer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Written confirmation of whether Trakhees, DDA, port, developer or another authority adds to/replaces the municipal route. Do not rely on municipality approval alone.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Independent inspection body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ENAS/EIAC or authority-accepted scope for tower crane, testing/examination and certificate signature verified before appointment. [2]</w:t>
            </w:r>
          </w:p>
        </w:tc>
      </w:tr>
    </w:tbl>
    <w:p/>
    <w:p>
      <w:pPr>
        <w:pStyle w:val="Heading1"/>
      </w:pPr>
      <w:r>
        <w:rPr>
          <w:rFonts w:ascii="Aptos Display" w:hAnsi="Aptos Display"/>
          <w:color w:val="17365D"/>
        </w:rPr>
        <w:t>2. Subcontractor Handover Gate: Pre-Mobilisation and Pre-Erection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  <w:vAlign w:val="top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7"/>
              </w:rPr>
              <w:t>Check</w:t>
            </w:r>
          </w:p>
        </w:tc>
        <w:tc>
          <w:tcPr>
            <w:tcW w:type="dxa" w:w="3552"/>
            <w:vAlign w:val="top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7"/>
              </w:rPr>
              <w:t>Required subcontractor handover evidence</w:t>
            </w:r>
          </w:p>
        </w:tc>
        <w:tc>
          <w:tcPr>
            <w:tcW w:type="dxa" w:w="3552"/>
            <w:vAlign w:val="top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7"/>
              </w:rPr>
              <w:t>Accept / hold</w:t>
            </w:r>
          </w:p>
        </w:tc>
      </w:tr>
      <w:tr>
        <w:tc>
          <w:tcPr>
            <w:tcW w:type="dxa" w:w="3552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Commercial and role control</w:t>
            </w:r>
          </w:p>
        </w:tc>
        <w:tc>
          <w:tcPr>
            <w:tcW w:type="dxa" w:w="3552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Signed subcontract, scope matrix, crane ownership, nominated erection/dismantling supervisor, OEM/authorised technical team, appointed person/lifting manager interfaces and 24-hour escalation contacts.</w:t>
            </w:r>
          </w:p>
        </w:tc>
        <w:tc>
          <w:tcPr>
            <w:tcW w:type="dxa" w:w="3552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3552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Authority and permits</w:t>
            </w:r>
          </w:p>
        </w:tc>
        <w:tc>
          <w:tcPr>
            <w:tcW w:type="dxa" w:w="3552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Exact plot authority matrix; current erection/use permit/NOC; building/temporary works approval; aviation/Civil Defence/utility/developer conditions; approved supplier/inspector evidence.</w:t>
            </w:r>
          </w:p>
        </w:tc>
        <w:tc>
          <w:tcPr>
            <w:tcW w:type="dxa" w:w="3552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3552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Engineering</w:t>
            </w:r>
          </w:p>
        </w:tc>
        <w:tc>
          <w:tcPr>
            <w:tcW w:type="dxa" w:w="3552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Current manufacturer configuration; approved foundation/base design; geotechnical/ground condition; anchor/base-frame details; mast/tie/climbing design; maximum height, jib/counter-jib, ballast and load charts.</w:t>
            </w:r>
          </w:p>
        </w:tc>
        <w:tc>
          <w:tcPr>
            <w:tcW w:type="dxa" w:w="3552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3552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Erection/dismantling RAMS</w:t>
            </w:r>
          </w:p>
        </w:tc>
        <w:tc>
          <w:tcPr>
            <w:tcW w:type="dxa" w:w="3552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OEM/engineered sequence, component weights, support-crane plan, rigging, exclusion zone, traffic/public interface, weather limits, fall protection, dropped-object controls, rescue plan and emergency contacts.</w:t>
            </w:r>
          </w:p>
        </w:tc>
        <w:tc>
          <w:tcPr>
            <w:tcW w:type="dxa" w:w="3552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3552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Personnel competence</w:t>
            </w:r>
          </w:p>
        </w:tc>
        <w:tc>
          <w:tcPr>
            <w:tcW w:type="dxa" w:w="3552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Identity and role verification for erection crew, operator, rigger/slinger, signalman, maintenance crew, rescue personnel and supervisor; current certification/training/medical fitness where required.</w:t>
            </w:r>
          </w:p>
        </w:tc>
        <w:tc>
          <w:tcPr>
            <w:tcW w:type="dxa" w:w="3552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3552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Support crane and lifting gear</w:t>
            </w:r>
          </w:p>
        </w:tc>
        <w:tc>
          <w:tcPr>
            <w:tcW w:type="dxa" w:w="3552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Valid certificate/examination, current configuration/load chart, rigging/accessory register, pre-use inspections, capacity check and designated operator/signalman.</w:t>
            </w:r>
          </w:p>
        </w:tc>
        <w:tc>
          <w:tcPr>
            <w:tcW w:type="dxa" w:w="3552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3552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Logistics and site readiness</w:t>
            </w:r>
          </w:p>
        </w:tc>
        <w:tc>
          <w:tcPr>
            <w:tcW w:type="dxa" w:w="3552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Delivery route, laydown area, access, ground bearing, barricades, crane-component storage, emergency route, lighting, weather plan and public/traffic segregation.</w:t>
            </w:r>
          </w:p>
        </w:tc>
        <w:tc>
          <w:tcPr>
            <w:tcW w:type="dxa" w:w="3552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</w:r>
          </w:p>
        </w:tc>
      </w:tr>
    </w:tbl>
    <w:p/>
    <w:p>
      <w:pPr>
        <w:pStyle w:val="Heading1"/>
      </w:pPr>
      <w:r>
        <w:rPr>
          <w:rFonts w:ascii="Aptos Display" w:hAnsi="Aptos Display"/>
          <w:color w:val="17365D"/>
        </w:rPr>
        <w:t>3. Erection Handover Checklist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vAlign w:val="top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7"/>
              </w:rPr>
              <w:t>Stage</w:t>
            </w:r>
          </w:p>
        </w:tc>
        <w:tc>
          <w:tcPr>
            <w:tcW w:type="dxa" w:w="5328"/>
            <w:vAlign w:val="top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7"/>
              </w:rPr>
              <w:t>Mandatory evidence / hold point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Foundation release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Concrete/anchor/bolt records, survey, curing/design release, underground-service and excavation/dewatering confirmation, consultant/TWC acceptance.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Permit release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Erection permit/NOC and approved drawings match actual base coordinate, height, jib, ties and boundary envelope.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Start-of-work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Weather within approved task/OEM limit; support crane/rigging inspected; competent crew/toolbox briefing complete; rescue and emergency communication ready.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Assembly and torque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Component serial/condition traceability; approved mast/tie/bolt/pin sequence; torque/control records; no unapproved component/substitution/repair.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Electrical and access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Power/earthing/isolator, access ladders/walkways/rails/cab, lights, fire equipment and emergency-rescue access inspected.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Safety systems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Limit switches, emergency stop, brakes, SLI/RCI, anemometer, anti-two-block and anti-collision/zoning where required installed/tested with records.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Commissioning hold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No operational handover until independent inspection body examination, functional tests/load test as required, defect closure and certificate review are complete.</w:t>
            </w:r>
          </w:p>
        </w:tc>
      </w:tr>
    </w:tbl>
    <w:p/>
    <w:p>
      <w:pPr>
        <w:pStyle w:val="Heading1"/>
      </w:pPr>
      <w:r>
        <w:rPr>
          <w:rFonts w:ascii="Aptos Display" w:hAnsi="Aptos Display"/>
          <w:color w:val="17365D"/>
        </w:rPr>
        <w:t>4. Third-Party Examination and Load-Testing Certification Gate</w:t>
      </w:r>
    </w:p>
    <w:p>
      <w:pPr>
        <w:spacing w:after="100"/>
      </w:pPr>
      <w:r>
        <w:rPr>
          <w:rFonts w:ascii="Aptos" w:hAnsi="Aptos"/>
          <w:sz w:val="20"/>
        </w:rPr>
        <w:t>The independent inspection body must work within its accepted/accredited scope. ETR 06 describes thorough examination including visual, dimensional, functional/operational, open-up, electrical and non-destructive testing as appropriate. It also states that first and subsequent inspections include functional, overload and safety tests; after a major repair a periodic inspection and proof-load test or other competent-person-specified inspection is required before return to normal service. [2] The actual test load, configuration and method must be set by the manufacturer, accepted inspection body, authority and approved test procedure—not copied from this checklist.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vAlign w:val="top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7"/>
              </w:rPr>
              <w:t>Certification checkpoint</w:t>
            </w:r>
          </w:p>
        </w:tc>
        <w:tc>
          <w:tcPr>
            <w:tcW w:type="dxa" w:w="5328"/>
            <w:vAlign w:val="top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7"/>
              </w:rPr>
              <w:t>Required evidence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Inspection-body acceptance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Accreditation/approval certificate, scope covering tower crane/lifting equipment and signatory; authority/developer acceptance checked.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Pre-test documentation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Crane serial/model/configuration, manufacturer manual/load chart, prior certificates/defects, foundation/ties/engineering drawings, erection records, operator competence and test procedure.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Test equipment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Traceable calibration records for load cells, weights, gauges and instruments; correct ID and capacity.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Test controls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Approved risk assessment/method; exclusion zone; public/traffic control; weather limit; designated competent persons; radio/signals; emergency plan; no concurrent conflicting work.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Examination and test record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Actual scope/tests undertaken, observations/defects, functional/safety-device status, load/configuration, inspection date, result and restriction/derating if any.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Certificate acceptance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Unique report/certificate ID; issuing inspection body; client/owner; crane identification; location; dates/type of inspection; result/defects; authorised signatory; expiry/next due; authority-required fields.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Defect close-out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All safety-critical defects quarantined and rectified; reinspection/retest evidence and formal release recorded before operational handover.</w:t>
            </w:r>
          </w:p>
        </w:tc>
      </w:tr>
    </w:tbl>
    <w:p/>
    <w:p>
      <w:pPr>
        <w:pStyle w:val="Heading1"/>
      </w:pPr>
      <w:r>
        <w:rPr>
          <w:rFonts w:ascii="Aptos Display" w:hAnsi="Aptos Display"/>
          <w:color w:val="17365D"/>
        </w:rPr>
        <w:t>5. Operational Handover to Principal Contractor / End User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vAlign w:val="top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7"/>
              </w:rPr>
              <w:t>Handover item</w:t>
            </w:r>
          </w:p>
        </w:tc>
        <w:tc>
          <w:tcPr>
            <w:tcW w:type="dxa" w:w="5328"/>
            <w:vAlign w:val="top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7"/>
              </w:rPr>
              <w:t>Receiving-party acceptance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Crane file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Manufacturer manuals, configuration/load charts, serial-number register, foundation/tie/erection documents, permits/NOCs, insurance and engineering drawings.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Certificates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Independent examination/load-test certificate, lifting-accessory records, electrical/earthing evidence, calibration records and current inspection planner.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Maintenance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OEM preventive-maintenance schedule, subcontractor maintenance responsibilities, daily/weekly/monthly records, defect/quarantine process and 24-hour contacts.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Operating controls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Operator/rigger/signalman authorisations, common-lift schedule, special/critical lift route, weather limits, anemometer/anti-collision records, boundary/aviation restrictions and communication protocol.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Emergency controls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Operator rescue plan, fire response, high-wind shutdown/parking method, incident contacts, emergency-access and urban/public interface controls.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Acceptance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Principal contractor, lifting manager, HSE manager, crane owner/subcontractor, consultant and authority/developer representative (if imposed) sign the controlled handover.</w:t>
            </w:r>
          </w:p>
        </w:tc>
      </w:tr>
    </w:tbl>
    <w:p/>
    <w:p>
      <w:pPr>
        <w:pStyle w:val="Heading1"/>
      </w:pPr>
      <w:r>
        <w:rPr>
          <w:rFonts w:ascii="Aptos Display" w:hAnsi="Aptos Display"/>
          <w:color w:val="17365D"/>
        </w:rPr>
        <w:t>6. Dismantling Handover Checklist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vAlign w:val="top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7"/>
              </w:rPr>
              <w:t>Stage</w:t>
            </w:r>
          </w:p>
        </w:tc>
        <w:tc>
          <w:tcPr>
            <w:tcW w:type="dxa" w:w="5328"/>
            <w:vAlign w:val="top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7"/>
              </w:rPr>
              <w:t>Mandatory evidence / hold point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Engineering and authority review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Current dismantling configuration, tie-removal sequence, building-stage/temporary-works condition, approved method, authority/developer notice and aviation/boundary restrictions reviewed.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Pre-dismantling inspection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Competent examination of structural condition, ropes, pins/bolts, ties, access, safety systems, foundation and any damage/defect prior to planned dismantling.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Dismantling plan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OEM/engineered sequence; component weights/COG; support crane/rigging capacity; lifting path; laydown; exclusion; road/public/adjacent-building controls; weather limit; emergency rescue.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Crew and plant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OEM-authorised/competent dismantling crew; named supervisor/signalman; support-crane and gear certificates; communications and fall protection confirmed.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Execution controls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No early tie removal or unapproved sequence; torque/pin/component controls; controlled landing/stacking; dropped-object prevention; traffic segregation.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Close-out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Components identified/condition recorded; site left safe; foundation/base/temporary works removal managed; permits closed; post-work inspection and lessons/actions documented.</w:t>
            </w:r>
          </w:p>
        </w:tc>
      </w:tr>
    </w:tbl>
    <w:p/>
    <w:p>
      <w:pPr>
        <w:pStyle w:val="Heading1"/>
      </w:pPr>
      <w:r>
        <w:rPr>
          <w:rFonts w:ascii="Aptos Display" w:hAnsi="Aptos Display"/>
          <w:color w:val="17365D"/>
        </w:rPr>
        <w:t>7. Sign-Off and Escalation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vAlign w:val="top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7"/>
              </w:rPr>
              <w:t>Role</w:t>
            </w:r>
          </w:p>
        </w:tc>
        <w:tc>
          <w:tcPr>
            <w:tcW w:type="dxa" w:w="5328"/>
            <w:vAlign w:val="top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7"/>
              </w:rPr>
              <w:t>Signature / date / comments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Crane owner / erection-dismantling subcontractor manager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Erection/dismantling supervisor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Appointed Person / Lifting Manager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Temporary Works Coordinator / Structural Engineer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Independent inspection body authorised signatory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Principal Contractor Project Manager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Principal Contractor HSE Manager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Consultant / developer / authority representative, if required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</w:r>
          </w:p>
        </w:tc>
      </w:tr>
    </w:tbl>
    <w:p/>
    <w:p>
      <w:pPr>
        <w:pStyle w:val="Heading1"/>
      </w:pPr>
      <w:r>
        <w:rPr>
          <w:rFonts w:ascii="Aptos Display" w:hAnsi="Aptos Display"/>
          <w:color w:val="17365D"/>
        </w:rPr>
        <w:t>References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vAlign w:val="top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7"/>
              </w:rPr>
              <w:t>Ref.</w:t>
            </w:r>
          </w:p>
        </w:tc>
        <w:tc>
          <w:tcPr>
            <w:tcW w:type="dxa" w:w="5328"/>
            <w:vAlign w:val="top"/>
            <w:shd w:fill="1F4E78"/>
          </w:tcPr>
          <w:p>
            <w:r/>
            <w:r>
              <w:rPr>
                <w:rFonts w:ascii="Aptos" w:hAnsi="Aptos"/>
                <w:b/>
                <w:color w:val="FFFFFF"/>
                <w:sz w:val="17"/>
              </w:rPr>
              <w:t>Source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[1]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DMT / Abu Dhabi City Municipality — Circular No. 001/2021, Safety requirement for tower cranes: https://www.dmt.gov.ae/-/media/Project/DMT/ADM/AboutUs/EHS/Circulars/Tower-crane-Circular-Jan-2021.pdf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[2]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MoIAT / ENAS — ETR 06, Technical Requirement for Lifting Equipment Inspection Bodies: https://moiat.gov.ae/-/media/site/moiat/microsite/enas/publications/technical-requirements/etr-06-for-lifting-equipment-inspection-bodies_rev0.ashx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[3]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Dubai Municipality — Code of Construction Safety Practice: https://www.dm.gov.ae/wp-content/uploads/2022/04/code_of_safety_EN.pdf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[4]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Dubai Civil Aviation Authority — Use Cranes service: https://www.dcaa.gov.ae/services/building-constructions/use-cranes</w:t>
            </w:r>
          </w:p>
        </w:tc>
      </w:tr>
      <w:tr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[5]</w:t>
            </w:r>
          </w:p>
        </w:tc>
        <w:tc>
          <w:tcPr>
            <w:tcW w:type="dxa" w:w="5328"/>
            <w:vAlign w:val="top"/>
          </w:tcPr>
          <w:p>
            <w:r/>
            <w:r>
              <w:rPr>
                <w:rFonts w:ascii="Aptos" w:hAnsi="Aptos"/>
                <w:b w:val="0"/>
                <w:sz w:val="17"/>
              </w:rPr>
              <w:t>Project-specific authority, free-zone, port, developer, Civil Defence, utility, aviation, manufacturer and consultant conditions.</w:t>
            </w:r>
          </w:p>
        </w:tc>
      </w:tr>
    </w:tbl>
    <w:p/>
    <w:sectPr w:rsidR="00FC693F" w:rsidRPr="0006063C" w:rsidSect="00034616">
      <w:pgSz w:w="12240" w:h="15840"/>
      <w:pgMar w:top="792" w:right="792" w:bottom="792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