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color w:val="17365D"/>
          <w:sz w:val="36"/>
        </w:rPr>
        <w:t>CRANE HANDOVER INCIDENT REPORTING AND AUTHORITY NOTIFICATION PROCEDURE</w:t>
      </w:r>
    </w:p>
    <w:p>
      <w:pPr>
        <w:jc w:val="center"/>
      </w:pPr>
      <w:r>
        <w:rPr>
          <w:rFonts w:ascii="Aptos" w:hAnsi="Aptos"/>
          <w:i/>
          <w:color w:val="1F4E78"/>
          <w:sz w:val="22"/>
        </w:rPr>
        <w:t>Near Misses, Non-Compliance and Serious Crane-Related Events — Dubai and Abu Dhabi</w:t>
      </w:r>
    </w:p>
    <w:p/>
    <w:tbl>
      <w:tblPr>
        <w:tblStyle w:val="TableGrid"/>
        <w:tblW w:type="auto" w:w="0"/>
        <w:jc w:val="center"/>
        <w:tblLook w:firstColumn="1" w:firstRow="1" w:lastColumn="0" w:lastRow="0" w:noHBand="0" w:noVBand="1" w:val="04A0"/>
      </w:tblPr>
      <w:tblGrid>
        <w:gridCol w:w="5328"/>
        <w:gridCol w:w="5328"/>
      </w:tblGrid>
      <w:tr>
        <w:tc>
          <w:tcPr>
            <w:tcW w:type="dxa" w:w="5328"/>
            <w:vAlign w:val="top"/>
            <w:shd w:fill="1F4E78"/>
          </w:tcPr>
          <w:p>
            <w:r/>
            <w:r>
              <w:rPr>
                <w:rFonts w:ascii="Aptos" w:hAnsi="Aptos"/>
                <w:b/>
                <w:color w:val="FFFFFF"/>
                <w:sz w:val="17"/>
              </w:rPr>
              <w:t>Document control</w:t>
            </w:r>
          </w:p>
        </w:tc>
        <w:tc>
          <w:tcPr>
            <w:tcW w:type="dxa" w:w="5328"/>
            <w:vAlign w:val="top"/>
            <w:shd w:fill="1F4E78"/>
          </w:tcPr>
          <w:p>
            <w:r/>
            <w:r>
              <w:rPr>
                <w:rFonts w:ascii="Aptos" w:hAnsi="Aptos"/>
                <w:b/>
                <w:color w:val="FFFFFF"/>
                <w:sz w:val="17"/>
              </w:rPr>
              <w:t>Detail</w:t>
            </w:r>
          </w:p>
        </w:tc>
      </w:tr>
      <w:tr>
        <w:tc>
          <w:tcPr>
            <w:tcW w:type="dxa" w:w="5328"/>
            <w:vAlign w:val="top"/>
          </w:tcPr>
          <w:p>
            <w:r/>
            <w:r>
              <w:rPr>
                <w:rFonts w:ascii="Aptos" w:hAnsi="Aptos"/>
                <w:b w:val="0"/>
                <w:sz w:val="17"/>
              </w:rPr>
              <w:t>Status</w:t>
            </w:r>
          </w:p>
        </w:tc>
        <w:tc>
          <w:tcPr>
            <w:tcW w:type="dxa" w:w="5328"/>
            <w:vAlign w:val="top"/>
          </w:tcPr>
          <w:p>
            <w:r/>
            <w:r>
              <w:rPr>
                <w:rFonts w:ascii="Aptos" w:hAnsi="Aptos"/>
                <w:b w:val="0"/>
                <w:sz w:val="17"/>
              </w:rPr>
              <w:t>Controlled working procedure. Insert current project authority contacts, permit conditions and escalation numbers before issue.</w:t>
            </w:r>
          </w:p>
        </w:tc>
      </w:tr>
      <w:tr>
        <w:tc>
          <w:tcPr>
            <w:tcW w:type="dxa" w:w="5328"/>
            <w:vAlign w:val="top"/>
          </w:tcPr>
          <w:p>
            <w:r/>
            <w:r>
              <w:rPr>
                <w:rFonts w:ascii="Aptos" w:hAnsi="Aptos"/>
                <w:b w:val="0"/>
                <w:sz w:val="17"/>
              </w:rPr>
              <w:t>Scope</w:t>
            </w:r>
          </w:p>
        </w:tc>
        <w:tc>
          <w:tcPr>
            <w:tcW w:type="dxa" w:w="5328"/>
            <w:vAlign w:val="top"/>
          </w:tcPr>
          <w:p>
            <w:r/>
            <w:r>
              <w:rPr>
                <w:rFonts w:ascii="Aptos" w:hAnsi="Aptos"/>
                <w:b w:val="0"/>
                <w:sz w:val="17"/>
              </w:rPr>
              <w:t>Crane erection, commissioning, third-party examination/load testing, operational handover and dismantling handover.</w:t>
            </w:r>
          </w:p>
        </w:tc>
      </w:tr>
      <w:tr>
        <w:tc>
          <w:tcPr>
            <w:tcW w:type="dxa" w:w="5328"/>
            <w:vAlign w:val="top"/>
          </w:tcPr>
          <w:p>
            <w:r/>
            <w:r>
              <w:rPr>
                <w:rFonts w:ascii="Aptos" w:hAnsi="Aptos"/>
                <w:b w:val="0"/>
                <w:sz w:val="17"/>
              </w:rPr>
              <w:t>Applies to</w:t>
            </w:r>
          </w:p>
        </w:tc>
        <w:tc>
          <w:tcPr>
            <w:tcW w:type="dxa" w:w="5328"/>
            <w:vAlign w:val="top"/>
          </w:tcPr>
          <w:p>
            <w:r/>
            <w:r>
              <w:rPr>
                <w:rFonts w:ascii="Aptos" w:hAnsi="Aptos"/>
                <w:b w:val="0"/>
                <w:sz w:val="17"/>
              </w:rPr>
              <w:t>Principal contractor, crane owner, erection/dismantling subcontractor, appointed person/lifting manager, HSE, consultant, independent inspection body, client/developer and security/logistics teams.</w:t>
            </w:r>
          </w:p>
        </w:tc>
      </w:tr>
      <w:tr>
        <w:tc>
          <w:tcPr>
            <w:tcW w:type="dxa" w:w="5328"/>
            <w:vAlign w:val="top"/>
          </w:tcPr>
          <w:p>
            <w:r/>
            <w:r>
              <w:rPr>
                <w:rFonts w:ascii="Aptos" w:hAnsi="Aptos"/>
                <w:b w:val="0"/>
                <w:sz w:val="17"/>
              </w:rPr>
              <w:t>Trigger events</w:t>
            </w:r>
          </w:p>
        </w:tc>
        <w:tc>
          <w:tcPr>
            <w:tcW w:type="dxa" w:w="5328"/>
            <w:vAlign w:val="top"/>
          </w:tcPr>
          <w:p>
            <w:r/>
            <w:r>
              <w:rPr>
                <w:rFonts w:ascii="Aptos" w:hAnsi="Aptos"/>
                <w:b w:val="0"/>
                <w:sz w:val="17"/>
              </w:rPr>
              <w:t>Near miss, dropped object/load, structural/alarm/safety-device event, wrong configuration, missing/expired permit or certificate, unsafe work sequence, public/aviation interface issue, injury or property damage.</w:t>
            </w:r>
          </w:p>
        </w:tc>
      </w:tr>
      <w:tr>
        <w:tc>
          <w:tcPr>
            <w:tcW w:type="dxa" w:w="5328"/>
            <w:vAlign w:val="top"/>
          </w:tcPr>
          <w:p>
            <w:r/>
            <w:r>
              <w:rPr>
                <w:rFonts w:ascii="Aptos" w:hAnsi="Aptos"/>
                <w:b w:val="0"/>
                <w:sz w:val="17"/>
              </w:rPr>
              <w:t>Review triggers</w:t>
            </w:r>
          </w:p>
        </w:tc>
        <w:tc>
          <w:tcPr>
            <w:tcW w:type="dxa" w:w="5328"/>
            <w:vAlign w:val="top"/>
          </w:tcPr>
          <w:p>
            <w:r/>
            <w:r>
              <w:rPr>
                <w:rFonts w:ascii="Aptos" w:hAnsi="Aptos"/>
                <w:b w:val="0"/>
                <w:sz w:val="17"/>
              </w:rPr>
              <w:t>Authority/free-zone/developer condition change; incident; major repair; configuration/tie/height change; change of inspection body or subcontractor.</w:t>
            </w:r>
          </w:p>
        </w:tc>
      </w:tr>
    </w:tbl>
    <w:p/>
    <w:tbl>
      <w:tblPr>
        <w:tblStyle w:val="TableGrid"/>
        <w:tblW w:type="auto" w:w="0"/>
        <w:tblLook w:firstColumn="1" w:firstRow="1" w:lastColumn="0" w:lastRow="0" w:noHBand="0" w:noVBand="1" w:val="04A0"/>
      </w:tblPr>
      <w:tblGrid>
        <w:gridCol w:w="5328"/>
        <w:gridCol w:w="5328"/>
      </w:tblGrid>
      <w:tr>
        <w:tc>
          <w:tcPr>
            <w:tcW w:type="dxa" w:w="5328"/>
            <w:vAlign w:val="top"/>
            <w:shd w:fill="C00000"/>
          </w:tcPr>
          <w:p>
            <w:r/>
            <w:r>
              <w:rPr>
                <w:rFonts w:ascii="Aptos" w:hAnsi="Aptos"/>
                <w:b/>
                <w:color w:val="FFFFFF"/>
                <w:sz w:val="17"/>
              </w:rPr>
              <w:t>Emergency priority</w:t>
            </w:r>
          </w:p>
        </w:tc>
        <w:tc>
          <w:tcPr>
            <w:tcW w:type="dxa" w:w="5328"/>
            <w:vAlign w:val="top"/>
          </w:tcPr>
          <w:p>
            <w:r/>
            <w:r>
              <w:rPr>
                <w:rFonts w:ascii="Aptos" w:hAnsi="Aptos"/>
                <w:b w:val="0"/>
                <w:sz w:val="17"/>
              </w:rPr>
              <w:t>Protect life first. Call emergency services and activate the project emergency plan when required; stop work, isolate the crane and prevent public/worker access. Do not delay emergency services or mandatory authority notification to complete an internal report. Preserve the scene and evidence only after life safety is controlled and only to the extent it is safe and lawful to do so.</w:t>
            </w:r>
          </w:p>
        </w:tc>
      </w:tr>
    </w:tbl>
    <w:p/>
    <w:p>
      <w:pPr>
        <w:pStyle w:val="Heading1"/>
      </w:pPr>
      <w:r>
        <w:rPr>
          <w:rFonts w:ascii="Aptos Display" w:hAnsi="Aptos Display"/>
          <w:color w:val="17365D"/>
        </w:rPr>
        <w:t>1. Purpose and Core Rules</w:t>
      </w:r>
    </w:p>
    <w:p>
      <w:pPr>
        <w:spacing w:after="100"/>
      </w:pPr>
      <w:r>
        <w:rPr>
          <w:rFonts w:ascii="Aptos" w:hAnsi="Aptos"/>
          <w:sz w:val="20"/>
        </w:rPr>
        <w:t>This procedure establishes a single controlled route for classifying, stopping, reporting, notifying, preserving evidence, investigating and releasing a crane after a near miss or non-compliance during handover. It operates alongside the project emergency plan, manufacturer instruction, authority conditions and independent inspection-body requirements. It does not replace Police, Civil Defence, ambulance, aviation, port, developer or other regulator directions.</w:t>
      </w:r>
    </w:p>
    <w:tbl>
      <w:tblPr>
        <w:tblStyle w:val="TableGrid"/>
        <w:tblW w:type="auto" w:w="0"/>
        <w:jc w:val="center"/>
        <w:tblLook w:firstColumn="1" w:firstRow="1" w:lastColumn="0" w:lastRow="0" w:noHBand="0" w:noVBand="1" w:val="04A0"/>
      </w:tblPr>
      <w:tblGrid>
        <w:gridCol w:w="5328"/>
        <w:gridCol w:w="5328"/>
      </w:tblGrid>
      <w:tr>
        <w:tc>
          <w:tcPr>
            <w:tcW w:type="dxa" w:w="5328"/>
            <w:vAlign w:val="top"/>
            <w:shd w:fill="1F4E78"/>
          </w:tcPr>
          <w:p>
            <w:r/>
            <w:r>
              <w:rPr>
                <w:rFonts w:ascii="Aptos" w:hAnsi="Aptos"/>
                <w:b/>
                <w:color w:val="FFFFFF"/>
                <w:sz w:val="17"/>
              </w:rPr>
              <w:t>Rule</w:t>
            </w:r>
          </w:p>
        </w:tc>
        <w:tc>
          <w:tcPr>
            <w:tcW w:type="dxa" w:w="5328"/>
            <w:vAlign w:val="top"/>
            <w:shd w:fill="1F4E78"/>
          </w:tcPr>
          <w:p>
            <w:r/>
            <w:r>
              <w:rPr>
                <w:rFonts w:ascii="Aptos" w:hAnsi="Aptos"/>
                <w:b/>
                <w:color w:val="FFFFFF"/>
                <w:sz w:val="17"/>
              </w:rPr>
              <w:t>Required behaviour</w:t>
            </w:r>
          </w:p>
        </w:tc>
      </w:tr>
      <w:tr>
        <w:tc>
          <w:tcPr>
            <w:tcW w:type="dxa" w:w="5328"/>
            <w:vAlign w:val="top"/>
          </w:tcPr>
          <w:p>
            <w:r/>
            <w:r>
              <w:rPr>
                <w:rFonts w:ascii="Aptos" w:hAnsi="Aptos"/>
                <w:b w:val="0"/>
                <w:sz w:val="17"/>
              </w:rPr>
              <w:t>Stop-work authority</w:t>
            </w:r>
          </w:p>
        </w:tc>
        <w:tc>
          <w:tcPr>
            <w:tcW w:type="dxa" w:w="5328"/>
            <w:vAlign w:val="top"/>
          </w:tcPr>
          <w:p>
            <w:r/>
            <w:r>
              <w:rPr>
                <w:rFonts w:ascii="Aptos" w:hAnsi="Aptos"/>
                <w:b w:val="0"/>
                <w:sz w:val="17"/>
              </w:rPr>
              <w:t>Any person may call stop work for a perceived crane safety threat. The supervisor must support the stop and make the area safe.</w:t>
            </w:r>
          </w:p>
        </w:tc>
      </w:tr>
      <w:tr>
        <w:tc>
          <w:tcPr>
            <w:tcW w:type="dxa" w:w="5328"/>
            <w:vAlign w:val="top"/>
          </w:tcPr>
          <w:p>
            <w:r/>
            <w:r>
              <w:rPr>
                <w:rFonts w:ascii="Aptos" w:hAnsi="Aptos"/>
                <w:b w:val="0"/>
                <w:sz w:val="17"/>
              </w:rPr>
              <w:t>No informal restart</w:t>
            </w:r>
          </w:p>
        </w:tc>
        <w:tc>
          <w:tcPr>
            <w:tcW w:type="dxa" w:w="5328"/>
            <w:vAlign w:val="top"/>
          </w:tcPr>
          <w:p>
            <w:r/>
            <w:r>
              <w:rPr>
                <w:rFonts w:ascii="Aptos" w:hAnsi="Aptos"/>
                <w:b w:val="0"/>
                <w:sz w:val="17"/>
              </w:rPr>
              <w:t>A crane affected by a structural, dropped-load, alarm/safety-device, certificate, permit or configuration issue remains on hold until the written release route is complete.</w:t>
            </w:r>
          </w:p>
        </w:tc>
      </w:tr>
      <w:tr>
        <w:tc>
          <w:tcPr>
            <w:tcW w:type="dxa" w:w="5328"/>
            <w:vAlign w:val="top"/>
          </w:tcPr>
          <w:p>
            <w:r/>
            <w:r>
              <w:rPr>
                <w:rFonts w:ascii="Aptos" w:hAnsi="Aptos"/>
                <w:b w:val="0"/>
                <w:sz w:val="17"/>
              </w:rPr>
              <w:t>Fact-first reporting</w:t>
            </w:r>
          </w:p>
        </w:tc>
        <w:tc>
          <w:tcPr>
            <w:tcW w:type="dxa" w:w="5328"/>
            <w:vAlign w:val="top"/>
          </w:tcPr>
          <w:p>
            <w:r/>
            <w:r>
              <w:rPr>
                <w:rFonts w:ascii="Aptos" w:hAnsi="Aptos"/>
                <w:b w:val="0"/>
                <w:sz w:val="17"/>
              </w:rPr>
              <w:t>State what occurred, where, when, people/property exposed, crane ID/configuration, load/activity and immediate controls. Do not speculate on root cause in the initial notification.</w:t>
            </w:r>
          </w:p>
        </w:tc>
      </w:tr>
      <w:tr>
        <w:tc>
          <w:tcPr>
            <w:tcW w:type="dxa" w:w="5328"/>
            <w:vAlign w:val="top"/>
          </w:tcPr>
          <w:p>
            <w:r/>
            <w:r>
              <w:rPr>
                <w:rFonts w:ascii="Aptos" w:hAnsi="Aptos"/>
                <w:b w:val="0"/>
                <w:sz w:val="17"/>
              </w:rPr>
              <w:t>Evidence integrity</w:t>
            </w:r>
          </w:p>
        </w:tc>
        <w:tc>
          <w:tcPr>
            <w:tcW w:type="dxa" w:w="5328"/>
            <w:vAlign w:val="top"/>
          </w:tcPr>
          <w:p>
            <w:r/>
            <w:r>
              <w:rPr>
                <w:rFonts w:ascii="Aptos" w:hAnsi="Aptos"/>
                <w:b w:val="0"/>
                <w:sz w:val="17"/>
              </w:rPr>
              <w:t>Preserve relevant records, photographs, alarms, radio logs, permits, certificates, configuration/drawing state and witness details. Do not disturb the scene except to save life, protect persons or prevent further damage.</w:t>
            </w:r>
          </w:p>
        </w:tc>
      </w:tr>
      <w:tr>
        <w:tc>
          <w:tcPr>
            <w:tcW w:type="dxa" w:w="5328"/>
            <w:vAlign w:val="top"/>
          </w:tcPr>
          <w:p>
            <w:r/>
            <w:r>
              <w:rPr>
                <w:rFonts w:ascii="Aptos" w:hAnsi="Aptos"/>
                <w:b w:val="0"/>
                <w:sz w:val="17"/>
              </w:rPr>
              <w:t>Authority hierarchy</w:t>
            </w:r>
          </w:p>
        </w:tc>
        <w:tc>
          <w:tcPr>
            <w:tcW w:type="dxa" w:w="5328"/>
            <w:vAlign w:val="top"/>
          </w:tcPr>
          <w:p>
            <w:r/>
            <w:r>
              <w:rPr>
                <w:rFonts w:ascii="Aptos" w:hAnsi="Aptos"/>
                <w:b w:val="0"/>
                <w:sz w:val="17"/>
              </w:rPr>
              <w:t>The exact plot/permit determines external notifications. Use the completed Authority &amp; NOC Matrix rather than an assumed emirate-wide contact.</w:t>
            </w:r>
          </w:p>
        </w:tc>
      </w:tr>
    </w:tbl>
    <w:p/>
    <w:p>
      <w:pPr>
        <w:pStyle w:val="Heading1"/>
      </w:pPr>
      <w:r>
        <w:rPr>
          <w:rFonts w:ascii="Aptos Display" w:hAnsi="Aptos Display"/>
          <w:color w:val="17365D"/>
        </w:rPr>
        <w:t>2. Initial Response: First 0–15 Minutes</w:t>
      </w:r>
    </w:p>
    <w:tbl>
      <w:tblPr>
        <w:tblStyle w:val="TableGrid"/>
        <w:tblW w:type="auto" w:w="0"/>
        <w:jc w:val="center"/>
        <w:tblLook w:firstColumn="1" w:firstRow="1" w:lastColumn="0" w:lastRow="0" w:noHBand="0" w:noVBand="1" w:val="04A0"/>
      </w:tblPr>
      <w:tblGrid>
        <w:gridCol w:w="2664"/>
        <w:gridCol w:w="2664"/>
        <w:gridCol w:w="2664"/>
        <w:gridCol w:w="2664"/>
      </w:tblGrid>
      <w:tr>
        <w:tc>
          <w:tcPr>
            <w:tcW w:type="dxa" w:w="2664"/>
            <w:vAlign w:val="top"/>
            <w:shd w:fill="1F4E78"/>
          </w:tcPr>
          <w:p>
            <w:r/>
            <w:r>
              <w:rPr>
                <w:rFonts w:ascii="Aptos" w:hAnsi="Aptos"/>
                <w:b/>
                <w:color w:val="FFFFFF"/>
                <w:sz w:val="17"/>
              </w:rPr>
              <w:t>Time</w:t>
            </w:r>
          </w:p>
        </w:tc>
        <w:tc>
          <w:tcPr>
            <w:tcW w:type="dxa" w:w="2664"/>
            <w:vAlign w:val="top"/>
            <w:shd w:fill="1F4E78"/>
          </w:tcPr>
          <w:p>
            <w:r/>
            <w:r>
              <w:rPr>
                <w:rFonts w:ascii="Aptos" w:hAnsi="Aptos"/>
                <w:b/>
                <w:color w:val="FFFFFF"/>
                <w:sz w:val="17"/>
              </w:rPr>
              <w:t>Action</w:t>
            </w:r>
          </w:p>
        </w:tc>
        <w:tc>
          <w:tcPr>
            <w:tcW w:type="dxa" w:w="2664"/>
            <w:vAlign w:val="top"/>
            <w:shd w:fill="1F4E78"/>
          </w:tcPr>
          <w:p>
            <w:r/>
            <w:r>
              <w:rPr>
                <w:rFonts w:ascii="Aptos" w:hAnsi="Aptos"/>
                <w:b/>
                <w:color w:val="FFFFFF"/>
                <w:sz w:val="17"/>
              </w:rPr>
              <w:t>Responsible role</w:t>
            </w:r>
          </w:p>
        </w:tc>
        <w:tc>
          <w:tcPr>
            <w:tcW w:type="dxa" w:w="2664"/>
            <w:vAlign w:val="top"/>
            <w:shd w:fill="1F4E78"/>
          </w:tcPr>
          <w:p>
            <w:r/>
            <w:r>
              <w:rPr>
                <w:rFonts w:ascii="Aptos" w:hAnsi="Aptos"/>
                <w:b/>
                <w:color w:val="FFFFFF"/>
                <w:sz w:val="17"/>
              </w:rPr>
              <w:t>Evidence / communication</w:t>
            </w:r>
          </w:p>
        </w:tc>
      </w:tr>
      <w:tr>
        <w:tc>
          <w:tcPr>
            <w:tcW w:type="dxa" w:w="2664"/>
            <w:vAlign w:val="top"/>
          </w:tcPr>
          <w:p>
            <w:r/>
            <w:r>
              <w:rPr>
                <w:rFonts w:ascii="Aptos" w:hAnsi="Aptos"/>
                <w:b w:val="0"/>
                <w:sz w:val="17"/>
              </w:rPr>
              <w:t>Immediately</w:t>
            </w:r>
          </w:p>
        </w:tc>
        <w:tc>
          <w:tcPr>
            <w:tcW w:type="dxa" w:w="2664"/>
            <w:vAlign w:val="top"/>
          </w:tcPr>
          <w:p>
            <w:r/>
            <w:r>
              <w:rPr>
                <w:rFonts w:ascii="Aptos" w:hAnsi="Aptos"/>
                <w:b w:val="0"/>
                <w:sz w:val="17"/>
              </w:rPr>
              <w:t>Stop lifting/erection/testing/dismantling. Use emergency stop or approved emergency method only where necessary. Keep people out of the danger area.</w:t>
            </w:r>
          </w:p>
        </w:tc>
        <w:tc>
          <w:tcPr>
            <w:tcW w:type="dxa" w:w="2664"/>
            <w:vAlign w:val="top"/>
          </w:tcPr>
          <w:p>
            <w:r/>
            <w:r>
              <w:rPr>
                <w:rFonts w:ascii="Aptos" w:hAnsi="Aptos"/>
                <w:b w:val="0"/>
                <w:sz w:val="17"/>
              </w:rPr>
              <w:t>Any observer / operator / supervisor</w:t>
            </w:r>
          </w:p>
        </w:tc>
        <w:tc>
          <w:tcPr>
            <w:tcW w:type="dxa" w:w="2664"/>
            <w:vAlign w:val="top"/>
          </w:tcPr>
          <w:p>
            <w:r/>
            <w:r>
              <w:rPr>
                <w:rFonts w:ascii="Aptos" w:hAnsi="Aptos"/>
                <w:b w:val="0"/>
                <w:sz w:val="17"/>
              </w:rPr>
              <w:t>Radio call, stop-work record and exclusion-zone control.</w:t>
            </w:r>
          </w:p>
        </w:tc>
      </w:tr>
      <w:tr>
        <w:tc>
          <w:tcPr>
            <w:tcW w:type="dxa" w:w="2664"/>
            <w:vAlign w:val="top"/>
          </w:tcPr>
          <w:p>
            <w:r/>
            <w:r>
              <w:rPr>
                <w:rFonts w:ascii="Aptos" w:hAnsi="Aptos"/>
                <w:b w:val="0"/>
                <w:sz w:val="17"/>
              </w:rPr>
              <w:t>Immediately</w:t>
            </w:r>
          </w:p>
        </w:tc>
        <w:tc>
          <w:tcPr>
            <w:tcW w:type="dxa" w:w="2664"/>
            <w:vAlign w:val="top"/>
          </w:tcPr>
          <w:p>
            <w:r/>
            <w:r>
              <w:rPr>
                <w:rFonts w:ascii="Aptos" w:hAnsi="Aptos"/>
                <w:b w:val="0"/>
                <w:sz w:val="17"/>
              </w:rPr>
              <w:t>Rescue and call emergency services as needed; activate project ERP; notify security/traffic control for urban/public interfaces.</w:t>
            </w:r>
          </w:p>
        </w:tc>
        <w:tc>
          <w:tcPr>
            <w:tcW w:type="dxa" w:w="2664"/>
            <w:vAlign w:val="top"/>
          </w:tcPr>
          <w:p>
            <w:r/>
            <w:r>
              <w:rPr>
                <w:rFonts w:ascii="Aptos" w:hAnsi="Aptos"/>
                <w:b w:val="0"/>
                <w:sz w:val="17"/>
              </w:rPr>
              <w:t>Site Emergency Commander / HSE</w:t>
            </w:r>
          </w:p>
        </w:tc>
        <w:tc>
          <w:tcPr>
            <w:tcW w:type="dxa" w:w="2664"/>
            <w:vAlign w:val="top"/>
          </w:tcPr>
          <w:p>
            <w:r/>
            <w:r>
              <w:rPr>
                <w:rFonts w:ascii="Aptos" w:hAnsi="Aptos"/>
                <w:b w:val="0"/>
                <w:sz w:val="17"/>
              </w:rPr>
              <w:t>Emergency log and service reference.</w:t>
            </w:r>
          </w:p>
        </w:tc>
      </w:tr>
      <w:tr>
        <w:tc>
          <w:tcPr>
            <w:tcW w:type="dxa" w:w="2664"/>
            <w:vAlign w:val="top"/>
          </w:tcPr>
          <w:p>
            <w:r/>
            <w:r>
              <w:rPr>
                <w:rFonts w:ascii="Aptos" w:hAnsi="Aptos"/>
                <w:b w:val="0"/>
                <w:sz w:val="17"/>
              </w:rPr>
              <w:t>0–5 minutes</w:t>
            </w:r>
          </w:p>
        </w:tc>
        <w:tc>
          <w:tcPr>
            <w:tcW w:type="dxa" w:w="2664"/>
            <w:vAlign w:val="top"/>
          </w:tcPr>
          <w:p>
            <w:r/>
            <w:r>
              <w:rPr>
                <w:rFonts w:ascii="Aptos" w:hAnsi="Aptos"/>
                <w:b w:val="0"/>
                <w:sz w:val="17"/>
              </w:rPr>
              <w:t>Quarantine the crane and associated equipment; prevent unauthorised re-energisation/use; secure load only by approved method.</w:t>
            </w:r>
          </w:p>
        </w:tc>
        <w:tc>
          <w:tcPr>
            <w:tcW w:type="dxa" w:w="2664"/>
            <w:vAlign w:val="top"/>
          </w:tcPr>
          <w:p>
            <w:r/>
            <w:r>
              <w:rPr>
                <w:rFonts w:ascii="Aptos" w:hAnsi="Aptos"/>
                <w:b w:val="0"/>
                <w:sz w:val="17"/>
              </w:rPr>
              <w:t>Crane Supervisor / Appointed Person</w:t>
            </w:r>
          </w:p>
        </w:tc>
        <w:tc>
          <w:tcPr>
            <w:tcW w:type="dxa" w:w="2664"/>
            <w:vAlign w:val="top"/>
          </w:tcPr>
          <w:p>
            <w:r/>
            <w:r>
              <w:rPr>
                <w:rFonts w:ascii="Aptos" w:hAnsi="Aptos"/>
                <w:b w:val="0"/>
                <w:sz w:val="17"/>
              </w:rPr>
              <w:t>Tag, barricade, isolation record.</w:t>
            </w:r>
          </w:p>
        </w:tc>
      </w:tr>
      <w:tr>
        <w:tc>
          <w:tcPr>
            <w:tcW w:type="dxa" w:w="2664"/>
            <w:vAlign w:val="top"/>
          </w:tcPr>
          <w:p>
            <w:r/>
            <w:r>
              <w:rPr>
                <w:rFonts w:ascii="Aptos" w:hAnsi="Aptos"/>
                <w:b w:val="0"/>
                <w:sz w:val="17"/>
              </w:rPr>
              <w:t>0–10 minutes</w:t>
            </w:r>
          </w:p>
        </w:tc>
        <w:tc>
          <w:tcPr>
            <w:tcW w:type="dxa" w:w="2664"/>
            <w:vAlign w:val="top"/>
          </w:tcPr>
          <w:p>
            <w:r/>
            <w:r>
              <w:rPr>
                <w:rFonts w:ascii="Aptos" w:hAnsi="Aptos"/>
                <w:b w:val="0"/>
                <w:sz w:val="17"/>
              </w:rPr>
              <w:t>Notify principal contractor project manager, HSE manager, appointed person/lifting manager, crane owner and subcontractor manager.</w:t>
            </w:r>
          </w:p>
        </w:tc>
        <w:tc>
          <w:tcPr>
            <w:tcW w:type="dxa" w:w="2664"/>
            <w:vAlign w:val="top"/>
          </w:tcPr>
          <w:p>
            <w:r/>
            <w:r>
              <w:rPr>
                <w:rFonts w:ascii="Aptos" w:hAnsi="Aptos"/>
                <w:b w:val="0"/>
                <w:sz w:val="17"/>
              </w:rPr>
              <w:t>Crane Supervisor / HSE</w:t>
            </w:r>
          </w:p>
        </w:tc>
        <w:tc>
          <w:tcPr>
            <w:tcW w:type="dxa" w:w="2664"/>
            <w:vAlign w:val="top"/>
          </w:tcPr>
          <w:p>
            <w:r/>
            <w:r>
              <w:rPr>
                <w:rFonts w:ascii="Aptos" w:hAnsi="Aptos"/>
                <w:b w:val="0"/>
                <w:sz w:val="17"/>
              </w:rPr>
              <w:t>Internal notification cascade log.</w:t>
            </w:r>
          </w:p>
        </w:tc>
      </w:tr>
      <w:tr>
        <w:tc>
          <w:tcPr>
            <w:tcW w:type="dxa" w:w="2664"/>
            <w:vAlign w:val="top"/>
          </w:tcPr>
          <w:p>
            <w:r/>
            <w:r>
              <w:rPr>
                <w:rFonts w:ascii="Aptos" w:hAnsi="Aptos"/>
                <w:b w:val="0"/>
                <w:sz w:val="17"/>
              </w:rPr>
              <w:t>0–15 minutes</w:t>
            </w:r>
          </w:p>
        </w:tc>
        <w:tc>
          <w:tcPr>
            <w:tcW w:type="dxa" w:w="2664"/>
            <w:vAlign w:val="top"/>
          </w:tcPr>
          <w:p>
            <w:r/>
            <w:r>
              <w:rPr>
                <w:rFonts w:ascii="Aptos" w:hAnsi="Aptos"/>
                <w:b w:val="0"/>
                <w:sz w:val="17"/>
              </w:rPr>
              <w:t>Classify preliminary severity; determine external authority/developer/inspection body/manufacturer notification route; preserve scene/evidence when safe.</w:t>
            </w:r>
          </w:p>
        </w:tc>
        <w:tc>
          <w:tcPr>
            <w:tcW w:type="dxa" w:w="2664"/>
            <w:vAlign w:val="top"/>
          </w:tcPr>
          <w:p>
            <w:r/>
            <w:r>
              <w:rPr>
                <w:rFonts w:ascii="Aptos" w:hAnsi="Aptos"/>
                <w:b w:val="0"/>
                <w:sz w:val="17"/>
              </w:rPr>
              <w:t>HSE Manager / Project Manager</w:t>
            </w:r>
          </w:p>
        </w:tc>
        <w:tc>
          <w:tcPr>
            <w:tcW w:type="dxa" w:w="2664"/>
            <w:vAlign w:val="top"/>
          </w:tcPr>
          <w:p>
            <w:r/>
            <w:r>
              <w:rPr>
                <w:rFonts w:ascii="Aptos" w:hAnsi="Aptos"/>
                <w:b w:val="0"/>
                <w:sz w:val="17"/>
              </w:rPr>
              <w:t>Initial incident notification form and decision log.</w:t>
            </w:r>
          </w:p>
        </w:tc>
      </w:tr>
    </w:tbl>
    <w:p/>
    <w:p>
      <w:pPr>
        <w:pStyle w:val="Heading1"/>
      </w:pPr>
      <w:r>
        <w:rPr>
          <w:rFonts w:ascii="Aptos Display" w:hAnsi="Aptos Display"/>
          <w:color w:val="17365D"/>
        </w:rPr>
        <w:t>3. Incident Classification and Immediate Direction</w:t>
      </w:r>
    </w:p>
    <w:tbl>
      <w:tblPr>
        <w:tblStyle w:val="TableGrid"/>
        <w:tblW w:type="auto" w:w="0"/>
        <w:jc w:val="center"/>
        <w:tblLook w:firstColumn="1" w:firstRow="1" w:lastColumn="0" w:lastRow="0" w:noHBand="0" w:noVBand="1" w:val="04A0"/>
      </w:tblPr>
      <w:tblGrid>
        <w:gridCol w:w="2664"/>
        <w:gridCol w:w="2664"/>
        <w:gridCol w:w="2664"/>
        <w:gridCol w:w="2664"/>
      </w:tblGrid>
      <w:tr>
        <w:tc>
          <w:tcPr>
            <w:tcW w:type="dxa" w:w="2664"/>
            <w:vAlign w:val="top"/>
            <w:shd w:fill="1F4E78"/>
          </w:tcPr>
          <w:p>
            <w:r/>
            <w:r>
              <w:rPr>
                <w:rFonts w:ascii="Aptos" w:hAnsi="Aptos"/>
                <w:b/>
                <w:color w:val="FFFFFF"/>
                <w:sz w:val="17"/>
              </w:rPr>
              <w:t>Class</w:t>
            </w:r>
          </w:p>
        </w:tc>
        <w:tc>
          <w:tcPr>
            <w:tcW w:type="dxa" w:w="2664"/>
            <w:vAlign w:val="top"/>
            <w:shd w:fill="1F4E78"/>
          </w:tcPr>
          <w:p>
            <w:r/>
            <w:r>
              <w:rPr>
                <w:rFonts w:ascii="Aptos" w:hAnsi="Aptos"/>
                <w:b/>
                <w:color w:val="FFFFFF"/>
                <w:sz w:val="17"/>
              </w:rPr>
              <w:t>Examples</w:t>
            </w:r>
          </w:p>
        </w:tc>
        <w:tc>
          <w:tcPr>
            <w:tcW w:type="dxa" w:w="2664"/>
            <w:vAlign w:val="top"/>
            <w:shd w:fill="1F4E78"/>
          </w:tcPr>
          <w:p>
            <w:r/>
            <w:r>
              <w:rPr>
                <w:rFonts w:ascii="Aptos" w:hAnsi="Aptos"/>
                <w:b/>
                <w:color w:val="FFFFFF"/>
                <w:sz w:val="17"/>
              </w:rPr>
              <w:t>Immediate direction</w:t>
            </w:r>
          </w:p>
        </w:tc>
        <w:tc>
          <w:tcPr>
            <w:tcW w:type="dxa" w:w="2664"/>
            <w:vAlign w:val="top"/>
            <w:shd w:fill="1F4E78"/>
          </w:tcPr>
          <w:p>
            <w:r/>
            <w:r>
              <w:rPr>
                <w:rFonts w:ascii="Aptos" w:hAnsi="Aptos"/>
                <w:b/>
                <w:color w:val="FFFFFF"/>
                <w:sz w:val="17"/>
              </w:rPr>
              <w:t>Release authority</w:t>
            </w:r>
          </w:p>
        </w:tc>
      </w:tr>
      <w:tr>
        <w:tc>
          <w:tcPr>
            <w:tcW w:type="dxa" w:w="2664"/>
            <w:vAlign w:val="top"/>
          </w:tcPr>
          <w:p>
            <w:r/>
            <w:r>
              <w:rPr>
                <w:rFonts w:ascii="Aptos" w:hAnsi="Aptos"/>
                <w:b w:val="0"/>
                <w:sz w:val="17"/>
              </w:rPr>
              <w:t>A — Emergency / serious</w:t>
            </w:r>
          </w:p>
        </w:tc>
        <w:tc>
          <w:tcPr>
            <w:tcW w:type="dxa" w:w="2664"/>
            <w:vAlign w:val="top"/>
          </w:tcPr>
          <w:p>
            <w:r/>
            <w:r>
              <w:rPr>
                <w:rFonts w:ascii="Aptos" w:hAnsi="Aptos"/>
                <w:b w:val="0"/>
                <w:sz w:val="17"/>
              </w:rPr>
              <w:t>Collapse, partial collapse, serious structural distress, dropped load with injury/public threat, uncontrolled crane, fatal/serious injury, fire or serious dangerous occurrence.</w:t>
            </w:r>
          </w:p>
        </w:tc>
        <w:tc>
          <w:tcPr>
            <w:tcW w:type="dxa" w:w="2664"/>
            <w:vAlign w:val="top"/>
          </w:tcPr>
          <w:p>
            <w:r/>
            <w:r>
              <w:rPr>
                <w:rFonts w:ascii="Aptos" w:hAnsi="Aptos"/>
                <w:b w:val="0"/>
                <w:sz w:val="17"/>
              </w:rPr>
              <w:t>Emergency response, evacuation/exclusion, Police/Civil Defence/ambulance/authority assessment, preserve scene.</w:t>
            </w:r>
          </w:p>
        </w:tc>
        <w:tc>
          <w:tcPr>
            <w:tcW w:type="dxa" w:w="2664"/>
            <w:vAlign w:val="top"/>
          </w:tcPr>
          <w:p>
            <w:r/>
            <w:r>
              <w:rPr>
                <w:rFonts w:ascii="Aptos" w:hAnsi="Aptos"/>
                <w:b w:val="0"/>
                <w:sz w:val="17"/>
              </w:rPr>
              <w:t>Only under authority/judicial direction plus competent engineer/inspection-body/project release.</w:t>
            </w:r>
          </w:p>
        </w:tc>
      </w:tr>
      <w:tr>
        <w:tc>
          <w:tcPr>
            <w:tcW w:type="dxa" w:w="2664"/>
            <w:vAlign w:val="top"/>
          </w:tcPr>
          <w:p>
            <w:r/>
            <w:r>
              <w:rPr>
                <w:rFonts w:ascii="Aptos" w:hAnsi="Aptos"/>
                <w:b w:val="0"/>
                <w:sz w:val="17"/>
              </w:rPr>
              <w:t>B — High-potential near miss</w:t>
            </w:r>
          </w:p>
        </w:tc>
        <w:tc>
          <w:tcPr>
            <w:tcW w:type="dxa" w:w="2664"/>
            <w:vAlign w:val="top"/>
          </w:tcPr>
          <w:p>
            <w:r/>
            <w:r>
              <w:rPr>
                <w:rFonts w:ascii="Aptos" w:hAnsi="Aptos"/>
                <w:b w:val="0"/>
                <w:sz w:val="17"/>
              </w:rPr>
              <w:t>Near drop, overload/limit action, collision/alarm, unexpected movement, loss of anti-collision/anemometer/limit device, incorrect tie/component or erection sequence.</w:t>
            </w:r>
          </w:p>
        </w:tc>
        <w:tc>
          <w:tcPr>
            <w:tcW w:type="dxa" w:w="2664"/>
            <w:vAlign w:val="top"/>
          </w:tcPr>
          <w:p>
            <w:r/>
            <w:r>
              <w:rPr>
                <w:rFonts w:ascii="Aptos" w:hAnsi="Aptos"/>
                <w:b w:val="0"/>
                <w:sz w:val="17"/>
              </w:rPr>
              <w:t>Stop and quarantine; preserve data; engineering/inspection body review; authority/developer notification assessment.</w:t>
            </w:r>
          </w:p>
        </w:tc>
        <w:tc>
          <w:tcPr>
            <w:tcW w:type="dxa" w:w="2664"/>
            <w:vAlign w:val="top"/>
          </w:tcPr>
          <w:p>
            <w:r/>
            <w:r>
              <w:rPr>
                <w:rFonts w:ascii="Aptos" w:hAnsi="Aptos"/>
                <w:b w:val="0"/>
                <w:sz w:val="17"/>
              </w:rPr>
              <w:t>Written project release after investigation, corrective actions and reinspection/retest as required.</w:t>
            </w:r>
          </w:p>
        </w:tc>
      </w:tr>
      <w:tr>
        <w:tc>
          <w:tcPr>
            <w:tcW w:type="dxa" w:w="2664"/>
            <w:vAlign w:val="top"/>
          </w:tcPr>
          <w:p>
            <w:r/>
            <w:r>
              <w:rPr>
                <w:rFonts w:ascii="Aptos" w:hAnsi="Aptos"/>
                <w:b w:val="0"/>
                <w:sz w:val="17"/>
              </w:rPr>
              <w:t>C — Major non-compliance</w:t>
            </w:r>
          </w:p>
        </w:tc>
        <w:tc>
          <w:tcPr>
            <w:tcW w:type="dxa" w:w="2664"/>
            <w:vAlign w:val="top"/>
          </w:tcPr>
          <w:p>
            <w:r/>
            <w:r>
              <w:rPr>
                <w:rFonts w:ascii="Aptos" w:hAnsi="Aptos"/>
                <w:b w:val="0"/>
                <w:sz w:val="17"/>
              </w:rPr>
              <w:t>Missing/expired permit, no accepted certificate, inspection-body scope issue, unapproved configuration, unauthorised person, safety device bypass.</w:t>
            </w:r>
          </w:p>
        </w:tc>
        <w:tc>
          <w:tcPr>
            <w:tcW w:type="dxa" w:w="2664"/>
            <w:vAlign w:val="top"/>
          </w:tcPr>
          <w:p>
            <w:r/>
            <w:r>
              <w:rPr>
                <w:rFonts w:ascii="Aptos" w:hAnsi="Aptos"/>
                <w:b w:val="0"/>
                <w:sz w:val="17"/>
              </w:rPr>
              <w:t>Immediate hold/quarantine; notify project chain; correct regulatory/technical evidence before any restart.</w:t>
            </w:r>
          </w:p>
        </w:tc>
        <w:tc>
          <w:tcPr>
            <w:tcW w:type="dxa" w:w="2664"/>
            <w:vAlign w:val="top"/>
          </w:tcPr>
          <w:p>
            <w:r/>
            <w:r>
              <w:rPr>
                <w:rFonts w:ascii="Aptos" w:hAnsi="Aptos"/>
                <w:b w:val="0"/>
                <w:sz w:val="17"/>
              </w:rPr>
              <w:t>Project manager / appointed person with relevant authority, inspection-body and engineering evidence.</w:t>
            </w:r>
          </w:p>
        </w:tc>
      </w:tr>
      <w:tr>
        <w:tc>
          <w:tcPr>
            <w:tcW w:type="dxa" w:w="2664"/>
            <w:vAlign w:val="top"/>
          </w:tcPr>
          <w:p>
            <w:r/>
            <w:r>
              <w:rPr>
                <w:rFonts w:ascii="Aptos" w:hAnsi="Aptos"/>
                <w:b w:val="0"/>
                <w:sz w:val="17"/>
              </w:rPr>
              <w:t>D — Minor deviation</w:t>
            </w:r>
          </w:p>
        </w:tc>
        <w:tc>
          <w:tcPr>
            <w:tcW w:type="dxa" w:w="2664"/>
            <w:vAlign w:val="top"/>
          </w:tcPr>
          <w:p>
            <w:r/>
            <w:r>
              <w:rPr>
                <w:rFonts w:ascii="Aptos" w:hAnsi="Aptos"/>
                <w:b w:val="0"/>
                <w:sz w:val="17"/>
              </w:rPr>
              <w:t>Documentation/housekeeping/procedure issue without immediate safety effect.</w:t>
            </w:r>
          </w:p>
        </w:tc>
        <w:tc>
          <w:tcPr>
            <w:tcW w:type="dxa" w:w="2664"/>
            <w:vAlign w:val="top"/>
          </w:tcPr>
          <w:p>
            <w:r/>
            <w:r>
              <w:rPr>
                <w:rFonts w:ascii="Aptos" w:hAnsi="Aptos"/>
                <w:b w:val="0"/>
                <w:sz w:val="17"/>
              </w:rPr>
              <w:t>Correct, record and trend; escalate if repeated or risk changes.</w:t>
            </w:r>
          </w:p>
        </w:tc>
        <w:tc>
          <w:tcPr>
            <w:tcW w:type="dxa" w:w="2664"/>
            <w:vAlign w:val="top"/>
          </w:tcPr>
          <w:p>
            <w:r/>
            <w:r>
              <w:rPr>
                <w:rFonts w:ascii="Aptos" w:hAnsi="Aptos"/>
                <w:b w:val="0"/>
                <w:sz w:val="17"/>
              </w:rPr>
              <w:t>Supervisor close-out, subject to project controls.</w:t>
            </w:r>
          </w:p>
        </w:tc>
      </w:tr>
    </w:tbl>
    <w:p/>
    <w:p>
      <w:pPr>
        <w:pStyle w:val="Heading1"/>
      </w:pPr>
      <w:r>
        <w:rPr>
          <w:rFonts w:ascii="Aptos Display" w:hAnsi="Aptos Display"/>
          <w:color w:val="17365D"/>
        </w:rPr>
        <w:t>4. Notification Decision Matrix</w:t>
      </w:r>
    </w:p>
    <w:tbl>
      <w:tblPr>
        <w:tblStyle w:val="TableGrid"/>
        <w:tblW w:type="auto" w:w="0"/>
        <w:jc w:val="center"/>
        <w:tblLook w:firstColumn="1" w:firstRow="1" w:lastColumn="0" w:lastRow="0" w:noHBand="0" w:noVBand="1" w:val="04A0"/>
      </w:tblPr>
      <w:tblGrid>
        <w:gridCol w:w="2664"/>
        <w:gridCol w:w="2664"/>
        <w:gridCol w:w="2664"/>
        <w:gridCol w:w="2664"/>
      </w:tblGrid>
      <w:tr>
        <w:tc>
          <w:tcPr>
            <w:tcW w:type="dxa" w:w="2664"/>
            <w:vAlign w:val="top"/>
            <w:shd w:fill="1F4E78"/>
          </w:tcPr>
          <w:p>
            <w:r/>
            <w:r>
              <w:rPr>
                <w:rFonts w:ascii="Aptos" w:hAnsi="Aptos"/>
                <w:b/>
                <w:color w:val="FFFFFF"/>
                <w:sz w:val="17"/>
              </w:rPr>
              <w:t>Recipient</w:t>
            </w:r>
          </w:p>
        </w:tc>
        <w:tc>
          <w:tcPr>
            <w:tcW w:type="dxa" w:w="2664"/>
            <w:vAlign w:val="top"/>
            <w:shd w:fill="1F4E78"/>
          </w:tcPr>
          <w:p>
            <w:r/>
            <w:r>
              <w:rPr>
                <w:rFonts w:ascii="Aptos" w:hAnsi="Aptos"/>
                <w:b/>
                <w:color w:val="FFFFFF"/>
                <w:sz w:val="17"/>
              </w:rPr>
              <w:t>When to notify</w:t>
            </w:r>
          </w:p>
        </w:tc>
        <w:tc>
          <w:tcPr>
            <w:tcW w:type="dxa" w:w="2664"/>
            <w:vAlign w:val="top"/>
            <w:shd w:fill="1F4E78"/>
          </w:tcPr>
          <w:p>
            <w:r/>
            <w:r>
              <w:rPr>
                <w:rFonts w:ascii="Aptos" w:hAnsi="Aptos"/>
                <w:b/>
                <w:color w:val="FFFFFF"/>
                <w:sz w:val="17"/>
              </w:rPr>
              <w:t>Information to provide</w:t>
            </w:r>
          </w:p>
        </w:tc>
        <w:tc>
          <w:tcPr>
            <w:tcW w:type="dxa" w:w="2664"/>
            <w:vAlign w:val="top"/>
            <w:shd w:fill="1F4E78"/>
          </w:tcPr>
          <w:p>
            <w:r/>
            <w:r>
              <w:rPr>
                <w:rFonts w:ascii="Aptos" w:hAnsi="Aptos"/>
                <w:b/>
                <w:color w:val="FFFFFF"/>
                <w:sz w:val="17"/>
              </w:rPr>
              <w:t>Owner</w:t>
            </w:r>
          </w:p>
        </w:tc>
      </w:tr>
      <w:tr>
        <w:tc>
          <w:tcPr>
            <w:tcW w:type="dxa" w:w="2664"/>
            <w:vAlign w:val="top"/>
          </w:tcPr>
          <w:p>
            <w:r/>
            <w:r>
              <w:rPr>
                <w:rFonts w:ascii="Aptos" w:hAnsi="Aptos"/>
                <w:b w:val="0"/>
                <w:sz w:val="17"/>
              </w:rPr>
              <w:t>Principal contractor / client / consultant</w:t>
            </w:r>
          </w:p>
        </w:tc>
        <w:tc>
          <w:tcPr>
            <w:tcW w:type="dxa" w:w="2664"/>
            <w:vAlign w:val="top"/>
          </w:tcPr>
          <w:p>
            <w:r/>
            <w:r>
              <w:rPr>
                <w:rFonts w:ascii="Aptos" w:hAnsi="Aptos"/>
                <w:b w:val="0"/>
                <w:sz w:val="17"/>
              </w:rPr>
              <w:t>All Class A–C events; Class D when project/client rules require.</w:t>
            </w:r>
          </w:p>
        </w:tc>
        <w:tc>
          <w:tcPr>
            <w:tcW w:type="dxa" w:w="2664"/>
            <w:vAlign w:val="top"/>
          </w:tcPr>
          <w:p>
            <w:r/>
            <w:r>
              <w:rPr>
                <w:rFonts w:ascii="Aptos" w:hAnsi="Aptos"/>
                <w:b w:val="0"/>
                <w:sz w:val="17"/>
              </w:rPr>
              <w:t>Location, crane ID, activity, classification, persons/property exposed, immediate controls, current status and requested support.</w:t>
            </w:r>
          </w:p>
        </w:tc>
        <w:tc>
          <w:tcPr>
            <w:tcW w:type="dxa" w:w="2664"/>
            <w:vAlign w:val="top"/>
          </w:tcPr>
          <w:p>
            <w:r/>
            <w:r>
              <w:rPr>
                <w:rFonts w:ascii="Aptos" w:hAnsi="Aptos"/>
                <w:b w:val="0"/>
                <w:sz w:val="17"/>
              </w:rPr>
              <w:t>Crane Supervisor / HSE.</w:t>
            </w:r>
          </w:p>
        </w:tc>
      </w:tr>
      <w:tr>
        <w:tc>
          <w:tcPr>
            <w:tcW w:type="dxa" w:w="2664"/>
            <w:vAlign w:val="top"/>
          </w:tcPr>
          <w:p>
            <w:r/>
            <w:r>
              <w:rPr>
                <w:rFonts w:ascii="Aptos" w:hAnsi="Aptos"/>
                <w:b w:val="0"/>
                <w:sz w:val="17"/>
              </w:rPr>
              <w:t>Crane owner / erection subcontractor / manufacturer</w:t>
            </w:r>
          </w:p>
        </w:tc>
        <w:tc>
          <w:tcPr>
            <w:tcW w:type="dxa" w:w="2664"/>
            <w:vAlign w:val="top"/>
          </w:tcPr>
          <w:p>
            <w:r/>
            <w:r>
              <w:rPr>
                <w:rFonts w:ascii="Aptos" w:hAnsi="Aptos"/>
                <w:b w:val="0"/>
                <w:sz w:val="17"/>
              </w:rPr>
              <w:t>All Class A–C events and any condition affecting structure, configuration, safety device or certification.</w:t>
            </w:r>
          </w:p>
        </w:tc>
        <w:tc>
          <w:tcPr>
            <w:tcW w:type="dxa" w:w="2664"/>
            <w:vAlign w:val="top"/>
          </w:tcPr>
          <w:p>
            <w:r/>
            <w:r>
              <w:rPr>
                <w:rFonts w:ascii="Aptos" w:hAnsi="Aptos"/>
                <w:b w:val="0"/>
                <w:sz w:val="17"/>
              </w:rPr>
              <w:t>Crane serial/configuration, event facts, alarm/fault data, photos, stop/isolated status and technical assistance request.</w:t>
            </w:r>
          </w:p>
        </w:tc>
        <w:tc>
          <w:tcPr>
            <w:tcW w:type="dxa" w:w="2664"/>
            <w:vAlign w:val="top"/>
          </w:tcPr>
          <w:p>
            <w:r/>
            <w:r>
              <w:rPr>
                <w:rFonts w:ascii="Aptos" w:hAnsi="Aptos"/>
                <w:b w:val="0"/>
                <w:sz w:val="17"/>
              </w:rPr>
              <w:t>Crane Owner / Erection Supervisor.</w:t>
            </w:r>
          </w:p>
        </w:tc>
      </w:tr>
      <w:tr>
        <w:tc>
          <w:tcPr>
            <w:tcW w:type="dxa" w:w="2664"/>
            <w:vAlign w:val="top"/>
          </w:tcPr>
          <w:p>
            <w:r/>
            <w:r>
              <w:rPr>
                <w:rFonts w:ascii="Aptos" w:hAnsi="Aptos"/>
                <w:b w:val="0"/>
                <w:sz w:val="17"/>
              </w:rPr>
              <w:t>Independent inspection body</w:t>
            </w:r>
          </w:p>
        </w:tc>
        <w:tc>
          <w:tcPr>
            <w:tcW w:type="dxa" w:w="2664"/>
            <w:vAlign w:val="top"/>
          </w:tcPr>
          <w:p>
            <w:r/>
            <w:r>
              <w:rPr>
                <w:rFonts w:ascii="Aptos" w:hAnsi="Aptos"/>
                <w:b w:val="0"/>
                <w:sz w:val="17"/>
              </w:rPr>
              <w:t>Any failed test, certificate concern, structural/safety-device event, major repair, configuration change or release requirement.</w:t>
            </w:r>
          </w:p>
        </w:tc>
        <w:tc>
          <w:tcPr>
            <w:tcW w:type="dxa" w:w="2664"/>
            <w:vAlign w:val="top"/>
          </w:tcPr>
          <w:p>
            <w:r/>
            <w:r>
              <w:rPr>
                <w:rFonts w:ascii="Aptos" w:hAnsi="Aptos"/>
                <w:b w:val="0"/>
                <w:sz w:val="17"/>
              </w:rPr>
              <w:t>Certificate/report ID, scope, crane ID, observed condition, defects and reinspection/retest request.</w:t>
            </w:r>
          </w:p>
        </w:tc>
        <w:tc>
          <w:tcPr>
            <w:tcW w:type="dxa" w:w="2664"/>
            <w:vAlign w:val="top"/>
          </w:tcPr>
          <w:p>
            <w:r/>
            <w:r>
              <w:rPr>
                <w:rFonts w:ascii="Aptos" w:hAnsi="Aptos"/>
                <w:b w:val="0"/>
                <w:sz w:val="17"/>
              </w:rPr>
              <w:t>Appointed Person / Crane Owner.</w:t>
            </w:r>
          </w:p>
        </w:tc>
      </w:tr>
      <w:tr>
        <w:tc>
          <w:tcPr>
            <w:tcW w:type="dxa" w:w="2664"/>
            <w:vAlign w:val="top"/>
          </w:tcPr>
          <w:p>
            <w:r/>
            <w:r>
              <w:rPr>
                <w:rFonts w:ascii="Aptos" w:hAnsi="Aptos"/>
                <w:b w:val="0"/>
                <w:sz w:val="17"/>
              </w:rPr>
              <w:t>Dubai municipality / DCAA / Civil Defence / developer / free zone / port</w:t>
            </w:r>
          </w:p>
        </w:tc>
        <w:tc>
          <w:tcPr>
            <w:tcW w:type="dxa" w:w="2664"/>
            <w:vAlign w:val="top"/>
          </w:tcPr>
          <w:p>
            <w:r/>
            <w:r>
              <w:rPr>
                <w:rFonts w:ascii="Aptos" w:hAnsi="Aptos"/>
                <w:b w:val="0"/>
                <w:sz w:val="17"/>
              </w:rPr>
              <w:t>Where event affects a permit/NOC, aviation/public/road/fire interface, project condition or authority threshold.</w:t>
            </w:r>
          </w:p>
        </w:tc>
        <w:tc>
          <w:tcPr>
            <w:tcW w:type="dxa" w:w="2664"/>
            <w:vAlign w:val="top"/>
          </w:tcPr>
          <w:p>
            <w:r/>
            <w:r>
              <w:rPr>
                <w:rFonts w:ascii="Aptos" w:hAnsi="Aptos"/>
                <w:b w:val="0"/>
                <w:sz w:val="17"/>
              </w:rPr>
              <w:t>Use exact permit/authority contact; report factual event and current controls.</w:t>
            </w:r>
          </w:p>
        </w:tc>
        <w:tc>
          <w:tcPr>
            <w:tcW w:type="dxa" w:w="2664"/>
            <w:vAlign w:val="top"/>
          </w:tcPr>
          <w:p>
            <w:r/>
            <w:r>
              <w:rPr>
                <w:rFonts w:ascii="Aptos" w:hAnsi="Aptos"/>
                <w:b w:val="0"/>
                <w:sz w:val="17"/>
              </w:rPr>
              <w:t>Project Manager / HSE.</w:t>
            </w:r>
          </w:p>
        </w:tc>
      </w:tr>
      <w:tr>
        <w:tc>
          <w:tcPr>
            <w:tcW w:type="dxa" w:w="2664"/>
            <w:vAlign w:val="top"/>
          </w:tcPr>
          <w:p>
            <w:r/>
            <w:r>
              <w:rPr>
                <w:rFonts w:ascii="Aptos" w:hAnsi="Aptos"/>
                <w:b w:val="0"/>
                <w:sz w:val="17"/>
              </w:rPr>
              <w:t>Abu Dhabi concerned SRA / ADPHC route</w:t>
            </w:r>
          </w:p>
        </w:tc>
        <w:tc>
          <w:tcPr>
            <w:tcW w:type="dxa" w:w="2664"/>
            <w:vAlign w:val="top"/>
          </w:tcPr>
          <w:p>
            <w:r/>
            <w:r>
              <w:rPr>
                <w:rFonts w:ascii="Aptos" w:hAnsi="Aptos"/>
                <w:b w:val="0"/>
                <w:sz w:val="17"/>
              </w:rPr>
              <w:t>Serious OSH events in line with ADOSH Mechanism 11.0.</w:t>
            </w:r>
          </w:p>
        </w:tc>
        <w:tc>
          <w:tcPr>
            <w:tcW w:type="dxa" w:w="2664"/>
            <w:vAlign w:val="top"/>
          </w:tcPr>
          <w:p>
            <w:r/>
            <w:r>
              <w:rPr>
                <w:rFonts w:ascii="Aptos" w:hAnsi="Aptos"/>
                <w:b w:val="0"/>
                <w:sz w:val="17"/>
              </w:rPr>
              <w:t>ADOSH-SF Form G and required facts. Fatality within 24 hours; serious dangerous occurrence, serious injury or serious illness within maximum three working days. [1]</w:t>
            </w:r>
          </w:p>
        </w:tc>
        <w:tc>
          <w:tcPr>
            <w:tcW w:type="dxa" w:w="2664"/>
            <w:vAlign w:val="top"/>
          </w:tcPr>
          <w:p>
            <w:r/>
            <w:r>
              <w:rPr>
                <w:rFonts w:ascii="Aptos" w:hAnsi="Aptos"/>
                <w:b w:val="0"/>
                <w:sz w:val="17"/>
              </w:rPr>
              <w:t>Nominated entity or principal contractor according to ADOSH hierarchy.</w:t>
            </w:r>
          </w:p>
        </w:tc>
      </w:tr>
      <w:tr>
        <w:tc>
          <w:tcPr>
            <w:tcW w:type="dxa" w:w="2664"/>
            <w:vAlign w:val="top"/>
          </w:tcPr>
          <w:p>
            <w:r/>
            <w:r>
              <w:rPr>
                <w:rFonts w:ascii="Aptos" w:hAnsi="Aptos"/>
                <w:b w:val="0"/>
                <w:sz w:val="17"/>
              </w:rPr>
              <w:t>Police / Civil Defence / ambulance / aviation authority</w:t>
            </w:r>
          </w:p>
        </w:tc>
        <w:tc>
          <w:tcPr>
            <w:tcW w:type="dxa" w:w="2664"/>
            <w:vAlign w:val="top"/>
          </w:tcPr>
          <w:p>
            <w:r/>
            <w:r>
              <w:rPr>
                <w:rFonts w:ascii="Aptos" w:hAnsi="Aptos"/>
                <w:b w:val="0"/>
                <w:sz w:val="17"/>
              </w:rPr>
              <w:t>Emergency/public/aviation/fire/life-safety events or when directed by permit/authority.</w:t>
            </w:r>
          </w:p>
        </w:tc>
        <w:tc>
          <w:tcPr>
            <w:tcW w:type="dxa" w:w="2664"/>
            <w:vAlign w:val="top"/>
          </w:tcPr>
          <w:p>
            <w:r/>
            <w:r>
              <w:rPr>
                <w:rFonts w:ascii="Aptos" w:hAnsi="Aptos"/>
                <w:b w:val="0"/>
                <w:sz w:val="17"/>
              </w:rPr>
              <w:t>Exact location/Makani, nature of threat, people exposed, crane status, access route and onsite commander.</w:t>
            </w:r>
          </w:p>
        </w:tc>
        <w:tc>
          <w:tcPr>
            <w:tcW w:type="dxa" w:w="2664"/>
            <w:vAlign w:val="top"/>
          </w:tcPr>
          <w:p>
            <w:r/>
            <w:r>
              <w:rPr>
                <w:rFonts w:ascii="Aptos" w:hAnsi="Aptos"/>
                <w:b w:val="0"/>
                <w:sz w:val="17"/>
              </w:rPr>
              <w:t>Emergency Commander / Project Director.</w:t>
            </w:r>
          </w:p>
        </w:tc>
      </w:tr>
    </w:tbl>
    <w:p/>
    <w:p>
      <w:pPr>
        <w:pStyle w:val="Heading1"/>
      </w:pPr>
      <w:r>
        <w:rPr>
          <w:rFonts w:ascii="Aptos Display" w:hAnsi="Aptos Display"/>
          <w:color w:val="17365D"/>
        </w:rPr>
        <w:t>5. Abu Dhabi Notification and Investigation Control</w:t>
      </w:r>
    </w:p>
    <w:p>
      <w:pPr>
        <w:spacing w:after="100"/>
      </w:pPr>
      <w:r>
        <w:rPr>
          <w:rFonts w:ascii="Aptos" w:hAnsi="Aptos"/>
          <w:sz w:val="20"/>
        </w:rPr>
        <w:t>ADOSH-SF Mechanism 11.0 requires high- and medium-risk entities to record all incidents. It defines a serious OSH incident as one involving fatality, serious injury, serious occupational illness or a serious dangerous occurrence. For serious incidents, fatality notification is within 24 hours and other serious categories are notified within a maximum of three working days using Form G to the concerned SRA. [1] On construction sites, serious events must be notified to the principal contractor; the nominated-entity hierarchy determines who officially notifies, investigates and reports. [1]</w:t>
      </w:r>
    </w:p>
    <w:tbl>
      <w:tblPr>
        <w:tblStyle w:val="TableGrid"/>
        <w:tblW w:type="auto" w:w="0"/>
        <w:jc w:val="center"/>
        <w:tblLook w:firstColumn="1" w:firstRow="1" w:lastColumn="0" w:lastRow="0" w:noHBand="0" w:noVBand="1" w:val="04A0"/>
      </w:tblPr>
      <w:tblGrid>
        <w:gridCol w:w="5328"/>
        <w:gridCol w:w="5328"/>
      </w:tblGrid>
      <w:tr>
        <w:tc>
          <w:tcPr>
            <w:tcW w:type="dxa" w:w="5328"/>
            <w:vAlign w:val="top"/>
            <w:shd w:fill="1F4E78"/>
          </w:tcPr>
          <w:p>
            <w:r/>
            <w:r>
              <w:rPr>
                <w:rFonts w:ascii="Aptos" w:hAnsi="Aptos"/>
                <w:b/>
                <w:color w:val="FFFFFF"/>
                <w:sz w:val="17"/>
              </w:rPr>
              <w:t>Abu Dhabi control</w:t>
            </w:r>
          </w:p>
        </w:tc>
        <w:tc>
          <w:tcPr>
            <w:tcW w:type="dxa" w:w="5328"/>
            <w:vAlign w:val="top"/>
            <w:shd w:fill="1F4E78"/>
          </w:tcPr>
          <w:p>
            <w:r/>
            <w:r>
              <w:rPr>
                <w:rFonts w:ascii="Aptos" w:hAnsi="Aptos"/>
                <w:b/>
                <w:color w:val="FFFFFF"/>
                <w:sz w:val="17"/>
              </w:rPr>
              <w:t>Project implementation</w:t>
            </w:r>
          </w:p>
        </w:tc>
      </w:tr>
      <w:tr>
        <w:tc>
          <w:tcPr>
            <w:tcW w:type="dxa" w:w="5328"/>
            <w:vAlign w:val="top"/>
          </w:tcPr>
          <w:p>
            <w:r/>
            <w:r>
              <w:rPr>
                <w:rFonts w:ascii="Aptos" w:hAnsi="Aptos"/>
                <w:b w:val="0"/>
                <w:sz w:val="17"/>
              </w:rPr>
              <w:t>Immediate site preservation</w:t>
            </w:r>
          </w:p>
        </w:tc>
        <w:tc>
          <w:tcPr>
            <w:tcW w:type="dxa" w:w="5328"/>
            <w:vAlign w:val="top"/>
          </w:tcPr>
          <w:p>
            <w:r/>
            <w:r>
              <w:rPr>
                <w:rFonts w:ascii="Aptos" w:hAnsi="Aptos"/>
                <w:b w:val="0"/>
                <w:sz w:val="17"/>
              </w:rPr>
              <w:t>After life safety actions, preserve the incident location/evidence as far as reasonably practicable. If Police/Civil Defence/judicial authorities intervene, do not disturb the site/evidence except to save life/safety or prevent further damage. [1]</w:t>
            </w:r>
          </w:p>
        </w:tc>
      </w:tr>
      <w:tr>
        <w:tc>
          <w:tcPr>
            <w:tcW w:type="dxa" w:w="5328"/>
            <w:vAlign w:val="top"/>
          </w:tcPr>
          <w:p>
            <w:r/>
            <w:r>
              <w:rPr>
                <w:rFonts w:ascii="Aptos" w:hAnsi="Aptos"/>
                <w:b w:val="0"/>
                <w:sz w:val="17"/>
              </w:rPr>
              <w:t>Serious event route</w:t>
            </w:r>
          </w:p>
        </w:tc>
        <w:tc>
          <w:tcPr>
            <w:tcW w:type="dxa" w:w="5328"/>
            <w:vAlign w:val="top"/>
          </w:tcPr>
          <w:p>
            <w:r/>
            <w:r>
              <w:rPr>
                <w:rFonts w:ascii="Aptos" w:hAnsi="Aptos"/>
                <w:b w:val="0"/>
                <w:sz w:val="17"/>
              </w:rPr>
              <w:t>HSE confirms the concerned SRA, submits Form G in the applicable time, and records confirmation/reference.</w:t>
            </w:r>
          </w:p>
        </w:tc>
      </w:tr>
      <w:tr>
        <w:tc>
          <w:tcPr>
            <w:tcW w:type="dxa" w:w="5328"/>
            <w:vAlign w:val="top"/>
          </w:tcPr>
          <w:p>
            <w:r/>
            <w:r>
              <w:rPr>
                <w:rFonts w:ascii="Aptos" w:hAnsi="Aptos"/>
                <w:b w:val="0"/>
                <w:sz w:val="17"/>
              </w:rPr>
              <w:t>Investigation</w:t>
            </w:r>
          </w:p>
        </w:tc>
        <w:tc>
          <w:tcPr>
            <w:tcW w:type="dxa" w:w="5328"/>
            <w:vAlign w:val="top"/>
          </w:tcPr>
          <w:p>
            <w:r/>
            <w:r>
              <w:rPr>
                <w:rFonts w:ascii="Aptos" w:hAnsi="Aptos"/>
                <w:b w:val="0"/>
                <w:sz w:val="17"/>
              </w:rPr>
              <w:t>Use a competent and suitably independent investigation team; invite the relevant employer/party where required; determine root causes and corrective/preventive controls. [1]</w:t>
            </w:r>
          </w:p>
        </w:tc>
      </w:tr>
      <w:tr>
        <w:tc>
          <w:tcPr>
            <w:tcW w:type="dxa" w:w="5328"/>
            <w:vAlign w:val="top"/>
          </w:tcPr>
          <w:p>
            <w:r/>
            <w:r>
              <w:rPr>
                <w:rFonts w:ascii="Aptos" w:hAnsi="Aptos"/>
                <w:b w:val="0"/>
                <w:sz w:val="17"/>
              </w:rPr>
              <w:t>Release</w:t>
            </w:r>
          </w:p>
        </w:tc>
        <w:tc>
          <w:tcPr>
            <w:tcW w:type="dxa" w:w="5328"/>
            <w:vAlign w:val="top"/>
          </w:tcPr>
          <w:p>
            <w:r/>
            <w:r>
              <w:rPr>
                <w:rFonts w:ascii="Aptos" w:hAnsi="Aptos"/>
                <w:b w:val="0"/>
                <w:sz w:val="17"/>
              </w:rPr>
              <w:t>No re-erection/testing/operation until authority/police direction (if applicable), engineering/inspection body recommendations and project release are complete.</w:t>
            </w:r>
          </w:p>
        </w:tc>
      </w:tr>
    </w:tbl>
    <w:p/>
    <w:p>
      <w:pPr>
        <w:pStyle w:val="Heading1"/>
      </w:pPr>
      <w:r>
        <w:rPr>
          <w:rFonts w:ascii="Aptos Display" w:hAnsi="Aptos Display"/>
          <w:color w:val="17365D"/>
        </w:rPr>
        <w:t>6. Dubai and Special-Jurisdiction Notification Control</w:t>
      </w:r>
    </w:p>
    <w:p>
      <w:pPr>
        <w:spacing w:after="100"/>
      </w:pPr>
      <w:r>
        <w:rPr>
          <w:rFonts w:ascii="Aptos" w:hAnsi="Aptos"/>
          <w:sz w:val="20"/>
        </w:rPr>
        <w:t>The exact Dubai notification route must be confirmed from the project’s current Dubai Municipality, DCAA, Civil Defence, master-developer, free-zone, port and permit/NOC conditions. This procedure therefore requires immediate internal/client/developer notification and a prompt authority-contact assessment for every Class A–C event, rather than applying an unverified generic time limit. DDA construction services publish site accident and accident investigation forms, and DDA’s current circular register includes accident notification/reporting. [2]</w:t>
      </w:r>
    </w:p>
    <w:tbl>
      <w:tblPr>
        <w:tblStyle w:val="TableGrid"/>
        <w:tblW w:type="auto" w:w="0"/>
        <w:jc w:val="center"/>
        <w:tblLook w:firstColumn="1" w:firstRow="1" w:lastColumn="0" w:lastRow="0" w:noHBand="0" w:noVBand="1" w:val="04A0"/>
      </w:tblPr>
      <w:tblGrid>
        <w:gridCol w:w="5328"/>
        <w:gridCol w:w="5328"/>
      </w:tblGrid>
      <w:tr>
        <w:tc>
          <w:tcPr>
            <w:tcW w:type="dxa" w:w="5328"/>
            <w:vAlign w:val="top"/>
            <w:shd w:fill="1F4E78"/>
          </w:tcPr>
          <w:p>
            <w:r/>
            <w:r>
              <w:rPr>
                <w:rFonts w:ascii="Aptos" w:hAnsi="Aptos"/>
                <w:b/>
                <w:color w:val="FFFFFF"/>
                <w:sz w:val="17"/>
              </w:rPr>
              <w:t>Dubai / special-zone scenario</w:t>
            </w:r>
          </w:p>
        </w:tc>
        <w:tc>
          <w:tcPr>
            <w:tcW w:type="dxa" w:w="5328"/>
            <w:vAlign w:val="top"/>
            <w:shd w:fill="1F4E78"/>
          </w:tcPr>
          <w:p>
            <w:r/>
            <w:r>
              <w:rPr>
                <w:rFonts w:ascii="Aptos" w:hAnsi="Aptos"/>
                <w:b/>
                <w:color w:val="FFFFFF"/>
                <w:sz w:val="17"/>
              </w:rPr>
              <w:t>Required control</w:t>
            </w:r>
          </w:p>
        </w:tc>
      </w:tr>
      <w:tr>
        <w:tc>
          <w:tcPr>
            <w:tcW w:type="dxa" w:w="5328"/>
            <w:vAlign w:val="top"/>
          </w:tcPr>
          <w:p>
            <w:r/>
            <w:r>
              <w:rPr>
                <w:rFonts w:ascii="Aptos" w:hAnsi="Aptos"/>
                <w:b w:val="0"/>
                <w:sz w:val="17"/>
              </w:rPr>
              <w:t>Dubai mainland</w:t>
            </w:r>
          </w:p>
        </w:tc>
        <w:tc>
          <w:tcPr>
            <w:tcW w:type="dxa" w:w="5328"/>
            <w:vAlign w:val="top"/>
          </w:tcPr>
          <w:p>
            <w:r/>
            <w:r>
              <w:rPr>
                <w:rFonts w:ascii="Aptos" w:hAnsi="Aptos"/>
                <w:b w:val="0"/>
                <w:sz w:val="17"/>
              </w:rPr>
              <w:t>Use the current project contact list and conditions. Escalate events affecting permit, crane use, public interface, road, fire/life safety or aviation condition to the appropriate authority path.</w:t>
            </w:r>
          </w:p>
        </w:tc>
      </w:tr>
      <w:tr>
        <w:tc>
          <w:tcPr>
            <w:tcW w:type="dxa" w:w="5328"/>
            <w:vAlign w:val="top"/>
          </w:tcPr>
          <w:p>
            <w:r/>
            <w:r>
              <w:rPr>
                <w:rFonts w:ascii="Aptos" w:hAnsi="Aptos"/>
                <w:b w:val="0"/>
                <w:sz w:val="17"/>
              </w:rPr>
              <w:t>DCAA / airport interface</w:t>
            </w:r>
          </w:p>
        </w:tc>
        <w:tc>
          <w:tcPr>
            <w:tcW w:type="dxa" w:w="5328"/>
            <w:vAlign w:val="top"/>
          </w:tcPr>
          <w:p>
            <w:r/>
            <w:r>
              <w:rPr>
                <w:rFonts w:ascii="Aptos" w:hAnsi="Aptos"/>
                <w:b w:val="0"/>
                <w:sz w:val="17"/>
              </w:rPr>
              <w:t>Notify in accordance with the approved crane/aviation NOC where the event involves crane height, lighting, position, aviation hazard or NOC condition.</w:t>
            </w:r>
          </w:p>
        </w:tc>
      </w:tr>
      <w:tr>
        <w:tc>
          <w:tcPr>
            <w:tcW w:type="dxa" w:w="5328"/>
            <w:vAlign w:val="top"/>
          </w:tcPr>
          <w:p>
            <w:r/>
            <w:r>
              <w:rPr>
                <w:rFonts w:ascii="Aptos" w:hAnsi="Aptos"/>
                <w:b w:val="0"/>
                <w:sz w:val="17"/>
              </w:rPr>
              <w:t>DDA / Trakhees / port / master developer</w:t>
            </w:r>
          </w:p>
        </w:tc>
        <w:tc>
          <w:tcPr>
            <w:tcW w:type="dxa" w:w="5328"/>
            <w:vAlign w:val="top"/>
          </w:tcPr>
          <w:p>
            <w:r/>
            <w:r>
              <w:rPr>
                <w:rFonts w:ascii="Aptos" w:hAnsi="Aptos"/>
                <w:b w:val="0"/>
                <w:sz w:val="17"/>
              </w:rPr>
              <w:t>Use the specific site accident, incident investigation, EHS/permit/contractor reporting process. Obtain written confirmation of notification reference and release condition.</w:t>
            </w:r>
          </w:p>
        </w:tc>
      </w:tr>
      <w:tr>
        <w:tc>
          <w:tcPr>
            <w:tcW w:type="dxa" w:w="5328"/>
            <w:vAlign w:val="top"/>
          </w:tcPr>
          <w:p>
            <w:r/>
            <w:r>
              <w:rPr>
                <w:rFonts w:ascii="Aptos" w:hAnsi="Aptos"/>
                <w:b w:val="0"/>
                <w:sz w:val="17"/>
              </w:rPr>
              <w:t>No confirmed public timing</w:t>
            </w:r>
          </w:p>
        </w:tc>
        <w:tc>
          <w:tcPr>
            <w:tcW w:type="dxa" w:w="5328"/>
            <w:vAlign w:val="top"/>
          </w:tcPr>
          <w:p>
            <w:r/>
            <w:r>
              <w:rPr>
                <w:rFonts w:ascii="Aptos" w:hAnsi="Aptos"/>
                <w:b w:val="0"/>
                <w:sz w:val="17"/>
              </w:rPr>
              <w:t>Set the project-specific time limit in the Authority &amp; NOC Matrix before work starts. Treat serious/high-potential conditions as immediate escalation pending clarification.</w:t>
            </w:r>
          </w:p>
        </w:tc>
      </w:tr>
    </w:tbl>
    <w:p/>
    <w:p>
      <w:pPr>
        <w:pStyle w:val="Heading1"/>
      </w:pPr>
      <w:r>
        <w:rPr>
          <w:rFonts w:ascii="Aptos Display" w:hAnsi="Aptos Display"/>
          <w:color w:val="17365D"/>
        </w:rPr>
        <w:t>7. Evidence Preservation and Investigation</w:t>
      </w:r>
    </w:p>
    <w:tbl>
      <w:tblPr>
        <w:tblStyle w:val="TableGrid"/>
        <w:tblW w:type="auto" w:w="0"/>
        <w:jc w:val="center"/>
        <w:tblLook w:firstColumn="1" w:firstRow="1" w:lastColumn="0" w:lastRow="0" w:noHBand="0" w:noVBand="1" w:val="04A0"/>
      </w:tblPr>
      <w:tblGrid>
        <w:gridCol w:w="5328"/>
        <w:gridCol w:w="5328"/>
      </w:tblGrid>
      <w:tr>
        <w:tc>
          <w:tcPr>
            <w:tcW w:type="dxa" w:w="5328"/>
            <w:vAlign w:val="top"/>
            <w:shd w:fill="1F4E78"/>
          </w:tcPr>
          <w:p>
            <w:r/>
            <w:r>
              <w:rPr>
                <w:rFonts w:ascii="Aptos" w:hAnsi="Aptos"/>
                <w:b/>
                <w:color w:val="FFFFFF"/>
                <w:sz w:val="17"/>
              </w:rPr>
              <w:t>Evidence group</w:t>
            </w:r>
          </w:p>
        </w:tc>
        <w:tc>
          <w:tcPr>
            <w:tcW w:type="dxa" w:w="5328"/>
            <w:vAlign w:val="top"/>
            <w:shd w:fill="1F4E78"/>
          </w:tcPr>
          <w:p>
            <w:r/>
            <w:r>
              <w:rPr>
                <w:rFonts w:ascii="Aptos" w:hAnsi="Aptos"/>
                <w:b/>
                <w:color w:val="FFFFFF"/>
                <w:sz w:val="17"/>
              </w:rPr>
              <w:t>Minimum preservation record</w:t>
            </w:r>
          </w:p>
        </w:tc>
      </w:tr>
      <w:tr>
        <w:tc>
          <w:tcPr>
            <w:tcW w:type="dxa" w:w="5328"/>
            <w:vAlign w:val="top"/>
          </w:tcPr>
          <w:p>
            <w:r/>
            <w:r>
              <w:rPr>
                <w:rFonts w:ascii="Aptos" w:hAnsi="Aptos"/>
                <w:b w:val="0"/>
                <w:sz w:val="17"/>
              </w:rPr>
              <w:t>Crane condition</w:t>
            </w:r>
          </w:p>
        </w:tc>
        <w:tc>
          <w:tcPr>
            <w:tcW w:type="dxa" w:w="5328"/>
            <w:vAlign w:val="top"/>
          </w:tcPr>
          <w:p>
            <w:r/>
            <w:r>
              <w:rPr>
                <w:rFonts w:ascii="Aptos" w:hAnsi="Aptos"/>
                <w:b w:val="0"/>
                <w:sz w:val="17"/>
              </w:rPr>
              <w:t>Crane ID/serial, configuration, jib/height/ties, component IDs, structural condition, rigging/load/accessory details and photographs/video where safe/permitted.</w:t>
            </w:r>
          </w:p>
        </w:tc>
      </w:tr>
      <w:tr>
        <w:tc>
          <w:tcPr>
            <w:tcW w:type="dxa" w:w="5328"/>
            <w:vAlign w:val="top"/>
          </w:tcPr>
          <w:p>
            <w:r/>
            <w:r>
              <w:rPr>
                <w:rFonts w:ascii="Aptos" w:hAnsi="Aptos"/>
                <w:b w:val="0"/>
                <w:sz w:val="17"/>
              </w:rPr>
              <w:t>Operational data</w:t>
            </w:r>
          </w:p>
        </w:tc>
        <w:tc>
          <w:tcPr>
            <w:tcW w:type="dxa" w:w="5328"/>
            <w:vAlign w:val="top"/>
          </w:tcPr>
          <w:p>
            <w:r/>
            <w:r>
              <w:rPr>
                <w:rFonts w:ascii="Aptos" w:hAnsi="Aptos"/>
                <w:b w:val="0"/>
                <w:sz w:val="17"/>
              </w:rPr>
              <w:t>Anemometer/weather, SLI/RCI/limit/anti-collision data, alarm/fault history, radio/communications, operator/signalman details and daily/weekly records.</w:t>
            </w:r>
          </w:p>
        </w:tc>
      </w:tr>
      <w:tr>
        <w:tc>
          <w:tcPr>
            <w:tcW w:type="dxa" w:w="5328"/>
            <w:vAlign w:val="top"/>
          </w:tcPr>
          <w:p>
            <w:r/>
            <w:r>
              <w:rPr>
                <w:rFonts w:ascii="Aptos" w:hAnsi="Aptos"/>
                <w:b w:val="0"/>
                <w:sz w:val="17"/>
              </w:rPr>
              <w:t>Approval/certification</w:t>
            </w:r>
          </w:p>
        </w:tc>
        <w:tc>
          <w:tcPr>
            <w:tcW w:type="dxa" w:w="5328"/>
            <w:vAlign w:val="top"/>
          </w:tcPr>
          <w:p>
            <w:r/>
            <w:r>
              <w:rPr>
                <w:rFonts w:ascii="Aptos" w:hAnsi="Aptos"/>
                <w:b w:val="0"/>
                <w:sz w:val="17"/>
              </w:rPr>
              <w:t>Permits/NOCs, approved drawings, RAMS/lift/test plan, inspection-body scope, certificates/reports, maintenance records and calibration certificates.</w:t>
            </w:r>
          </w:p>
        </w:tc>
      </w:tr>
      <w:tr>
        <w:tc>
          <w:tcPr>
            <w:tcW w:type="dxa" w:w="5328"/>
            <w:vAlign w:val="top"/>
          </w:tcPr>
          <w:p>
            <w:r/>
            <w:r>
              <w:rPr>
                <w:rFonts w:ascii="Aptos" w:hAnsi="Aptos"/>
                <w:b w:val="0"/>
                <w:sz w:val="17"/>
              </w:rPr>
              <w:t>People and place</w:t>
            </w:r>
          </w:p>
        </w:tc>
        <w:tc>
          <w:tcPr>
            <w:tcW w:type="dxa" w:w="5328"/>
            <w:vAlign w:val="top"/>
          </w:tcPr>
          <w:p>
            <w:r/>
            <w:r>
              <w:rPr>
                <w:rFonts w:ascii="Aptos" w:hAnsi="Aptos"/>
                <w:b w:val="0"/>
                <w:sz w:val="17"/>
              </w:rPr>
              <w:t>Witness names/contacts, exact location, exclusion/access controls, security/traffic log and chronology of actions.</w:t>
            </w:r>
          </w:p>
        </w:tc>
      </w:tr>
      <w:tr>
        <w:tc>
          <w:tcPr>
            <w:tcW w:type="dxa" w:w="5328"/>
            <w:vAlign w:val="top"/>
          </w:tcPr>
          <w:p>
            <w:r/>
            <w:r>
              <w:rPr>
                <w:rFonts w:ascii="Aptos" w:hAnsi="Aptos"/>
                <w:b w:val="0"/>
                <w:sz w:val="17"/>
              </w:rPr>
              <w:t>Corrective actions</w:t>
            </w:r>
          </w:p>
        </w:tc>
        <w:tc>
          <w:tcPr>
            <w:tcW w:type="dxa" w:w="5328"/>
            <w:vAlign w:val="top"/>
          </w:tcPr>
          <w:p>
            <w:r/>
            <w:r>
              <w:rPr>
                <w:rFonts w:ascii="Aptos" w:hAnsi="Aptos"/>
                <w:b w:val="0"/>
                <w:sz w:val="17"/>
              </w:rPr>
              <w:t>Root cause, risk assessment, action owner, due date, engineering/inspection findings, reinspection/retest, authority correspondence and written release.</w:t>
            </w:r>
          </w:p>
        </w:tc>
      </w:tr>
    </w:tbl>
    <w:p/>
    <w:p>
      <w:pPr>
        <w:pStyle w:val="Heading1"/>
      </w:pPr>
      <w:r>
        <w:rPr>
          <w:rFonts w:ascii="Aptos Display" w:hAnsi="Aptos Display"/>
          <w:color w:val="17365D"/>
        </w:rPr>
        <w:t>8. Restart / Return-to-Service Gate</w:t>
      </w:r>
    </w:p>
    <w:tbl>
      <w:tblPr>
        <w:tblStyle w:val="TableGrid"/>
        <w:tblW w:type="auto" w:w="0"/>
        <w:jc w:val="center"/>
        <w:tblLook w:firstColumn="1" w:firstRow="1" w:lastColumn="0" w:lastRow="0" w:noHBand="0" w:noVBand="1" w:val="04A0"/>
      </w:tblPr>
      <w:tblGrid>
        <w:gridCol w:w="5328"/>
        <w:gridCol w:w="5328"/>
      </w:tblGrid>
      <w:tr>
        <w:tc>
          <w:tcPr>
            <w:tcW w:type="dxa" w:w="5328"/>
            <w:vAlign w:val="top"/>
            <w:shd w:fill="1F4E78"/>
          </w:tcPr>
          <w:p>
            <w:r/>
            <w:r>
              <w:rPr>
                <w:rFonts w:ascii="Aptos" w:hAnsi="Aptos"/>
                <w:b/>
                <w:color w:val="FFFFFF"/>
                <w:sz w:val="17"/>
              </w:rPr>
              <w:t>Release prerequisite</w:t>
            </w:r>
          </w:p>
        </w:tc>
        <w:tc>
          <w:tcPr>
            <w:tcW w:type="dxa" w:w="5328"/>
            <w:vAlign w:val="top"/>
            <w:shd w:fill="1F4E78"/>
          </w:tcPr>
          <w:p>
            <w:r/>
            <w:r>
              <w:rPr>
                <w:rFonts w:ascii="Aptos" w:hAnsi="Aptos"/>
                <w:b/>
                <w:color w:val="FFFFFF"/>
                <w:sz w:val="17"/>
              </w:rPr>
              <w:t>Required acceptance</w:t>
            </w:r>
          </w:p>
        </w:tc>
      </w:tr>
      <w:tr>
        <w:tc>
          <w:tcPr>
            <w:tcW w:type="dxa" w:w="5328"/>
            <w:vAlign w:val="top"/>
          </w:tcPr>
          <w:p>
            <w:r/>
            <w:r>
              <w:rPr>
                <w:rFonts w:ascii="Aptos" w:hAnsi="Aptos"/>
                <w:b w:val="0"/>
                <w:sz w:val="17"/>
              </w:rPr>
              <w:t>Safety and authority direction</w:t>
            </w:r>
          </w:p>
        </w:tc>
        <w:tc>
          <w:tcPr>
            <w:tcW w:type="dxa" w:w="5328"/>
            <w:vAlign w:val="top"/>
          </w:tcPr>
          <w:p>
            <w:r/>
            <w:r>
              <w:rPr>
                <w:rFonts w:ascii="Aptos" w:hAnsi="Aptos"/>
                <w:b w:val="0"/>
                <w:sz w:val="17"/>
              </w:rPr>
              <w:t>Emergency and authority conditions complied with; no Police/Civil Defence/aviation/authority hold remains.</w:t>
            </w:r>
          </w:p>
        </w:tc>
      </w:tr>
      <w:tr>
        <w:tc>
          <w:tcPr>
            <w:tcW w:type="dxa" w:w="5328"/>
            <w:vAlign w:val="top"/>
          </w:tcPr>
          <w:p>
            <w:r/>
            <w:r>
              <w:rPr>
                <w:rFonts w:ascii="Aptos" w:hAnsi="Aptos"/>
                <w:b w:val="0"/>
                <w:sz w:val="17"/>
              </w:rPr>
              <w:t>Technical condition</w:t>
            </w:r>
          </w:p>
        </w:tc>
        <w:tc>
          <w:tcPr>
            <w:tcW w:type="dxa" w:w="5328"/>
            <w:vAlign w:val="top"/>
          </w:tcPr>
          <w:p>
            <w:r/>
            <w:r>
              <w:rPr>
                <w:rFonts w:ascii="Aptos" w:hAnsi="Aptos"/>
                <w:b w:val="0"/>
                <w:sz w:val="17"/>
              </w:rPr>
              <w:t>Competent engineer/OEM/inspection body assessment completed for structural, mechanical, electrical and safety-device condition.</w:t>
            </w:r>
          </w:p>
        </w:tc>
      </w:tr>
      <w:tr>
        <w:tc>
          <w:tcPr>
            <w:tcW w:type="dxa" w:w="5328"/>
            <w:vAlign w:val="top"/>
          </w:tcPr>
          <w:p>
            <w:r/>
            <w:r>
              <w:rPr>
                <w:rFonts w:ascii="Aptos" w:hAnsi="Aptos"/>
                <w:b w:val="0"/>
                <w:sz w:val="17"/>
              </w:rPr>
              <w:t>Certification</w:t>
            </w:r>
          </w:p>
        </w:tc>
        <w:tc>
          <w:tcPr>
            <w:tcW w:type="dxa" w:w="5328"/>
            <w:vAlign w:val="top"/>
          </w:tcPr>
          <w:p>
            <w:r/>
            <w:r>
              <w:rPr>
                <w:rFonts w:ascii="Aptos" w:hAnsi="Aptos"/>
                <w:b w:val="0"/>
                <w:sz w:val="17"/>
              </w:rPr>
              <w:t>Reinspection/retest and revised/renewed certificate obtained where required; certificate matches the actual crane/configuration/location.</w:t>
            </w:r>
          </w:p>
        </w:tc>
      </w:tr>
      <w:tr>
        <w:tc>
          <w:tcPr>
            <w:tcW w:type="dxa" w:w="5328"/>
            <w:vAlign w:val="top"/>
          </w:tcPr>
          <w:p>
            <w:r/>
            <w:r>
              <w:rPr>
                <w:rFonts w:ascii="Aptos" w:hAnsi="Aptos"/>
                <w:b w:val="0"/>
                <w:sz w:val="17"/>
              </w:rPr>
              <w:t>Controls</w:t>
            </w:r>
          </w:p>
        </w:tc>
        <w:tc>
          <w:tcPr>
            <w:tcW w:type="dxa" w:w="5328"/>
            <w:vAlign w:val="top"/>
          </w:tcPr>
          <w:p>
            <w:r/>
            <w:r>
              <w:rPr>
                <w:rFonts w:ascii="Aptos" w:hAnsi="Aptos"/>
                <w:b w:val="0"/>
                <w:sz w:val="17"/>
              </w:rPr>
              <w:t>Updated RAMS/lift plan, weather/anti-collision/communications, competence and emergency controls briefed.</w:t>
            </w:r>
          </w:p>
        </w:tc>
      </w:tr>
      <w:tr>
        <w:tc>
          <w:tcPr>
            <w:tcW w:type="dxa" w:w="5328"/>
            <w:vAlign w:val="top"/>
          </w:tcPr>
          <w:p>
            <w:r/>
            <w:r>
              <w:rPr>
                <w:rFonts w:ascii="Aptos" w:hAnsi="Aptos"/>
                <w:b w:val="0"/>
                <w:sz w:val="17"/>
              </w:rPr>
              <w:t>Documentation</w:t>
            </w:r>
          </w:p>
        </w:tc>
        <w:tc>
          <w:tcPr>
            <w:tcW w:type="dxa" w:w="5328"/>
            <w:vAlign w:val="top"/>
          </w:tcPr>
          <w:p>
            <w:r/>
            <w:r>
              <w:rPr>
                <w:rFonts w:ascii="Aptos" w:hAnsi="Aptos"/>
                <w:b w:val="0"/>
                <w:sz w:val="17"/>
              </w:rPr>
              <w:t>Incident report, corrective actions, authority/developer correspondence and signed release retained in crane file.</w:t>
            </w:r>
          </w:p>
        </w:tc>
      </w:tr>
      <w:tr>
        <w:tc>
          <w:tcPr>
            <w:tcW w:type="dxa" w:w="5328"/>
            <w:vAlign w:val="top"/>
          </w:tcPr>
          <w:p>
            <w:r/>
            <w:r>
              <w:rPr>
                <w:rFonts w:ascii="Aptos" w:hAnsi="Aptos"/>
                <w:b w:val="0"/>
                <w:sz w:val="17"/>
              </w:rPr>
              <w:t>Formal release</w:t>
            </w:r>
          </w:p>
        </w:tc>
        <w:tc>
          <w:tcPr>
            <w:tcW w:type="dxa" w:w="5328"/>
            <w:vAlign w:val="top"/>
          </w:tcPr>
          <w:p>
            <w:r/>
            <w:r>
              <w:rPr>
                <w:rFonts w:ascii="Aptos" w:hAnsi="Aptos"/>
                <w:b w:val="0"/>
                <w:sz w:val="17"/>
              </w:rPr>
              <w:t>Named project release authority signs the return-to-service record; no verbal-only release.</w:t>
            </w:r>
          </w:p>
        </w:tc>
      </w:tr>
    </w:tbl>
    <w:p/>
    <w:p>
      <w:pPr>
        <w:pStyle w:val="Heading1"/>
      </w:pPr>
      <w:r>
        <w:rPr>
          <w:rFonts w:ascii="Aptos Display" w:hAnsi="Aptos Display"/>
          <w:color w:val="17365D"/>
        </w:rPr>
        <w:t>9. Project Completion Fields</w:t>
      </w:r>
    </w:p>
    <w:tbl>
      <w:tblPr>
        <w:tblStyle w:val="TableGrid"/>
        <w:tblW w:type="auto" w:w="0"/>
        <w:jc w:val="center"/>
        <w:tblLook w:firstColumn="1" w:firstRow="1" w:lastColumn="0" w:lastRow="0" w:noHBand="0" w:noVBand="1" w:val="04A0"/>
      </w:tblPr>
      <w:tblGrid>
        <w:gridCol w:w="5328"/>
        <w:gridCol w:w="5328"/>
      </w:tblGrid>
      <w:tr>
        <w:tc>
          <w:tcPr>
            <w:tcW w:type="dxa" w:w="5328"/>
            <w:vAlign w:val="top"/>
            <w:shd w:fill="1F4E78"/>
          </w:tcPr>
          <w:p>
            <w:r/>
            <w:r>
              <w:rPr>
                <w:rFonts w:ascii="Aptos" w:hAnsi="Aptos"/>
                <w:b/>
                <w:color w:val="FFFFFF"/>
                <w:sz w:val="17"/>
              </w:rPr>
              <w:t>Field</w:t>
            </w:r>
          </w:p>
        </w:tc>
        <w:tc>
          <w:tcPr>
            <w:tcW w:type="dxa" w:w="5328"/>
            <w:vAlign w:val="top"/>
            <w:shd w:fill="1F4E78"/>
          </w:tcPr>
          <w:p>
            <w:r/>
            <w:r>
              <w:rPr>
                <w:rFonts w:ascii="Aptos" w:hAnsi="Aptos"/>
                <w:b/>
                <w:color w:val="FFFFFF"/>
                <w:sz w:val="17"/>
              </w:rPr>
              <w:t>Project-specific entry</w:t>
            </w:r>
          </w:p>
        </w:tc>
      </w:tr>
      <w:tr>
        <w:tc>
          <w:tcPr>
            <w:tcW w:type="dxa" w:w="5328"/>
            <w:vAlign w:val="top"/>
          </w:tcPr>
          <w:p>
            <w:r/>
            <w:r>
              <w:rPr>
                <w:rFonts w:ascii="Aptos" w:hAnsi="Aptos"/>
                <w:b w:val="0"/>
                <w:sz w:val="17"/>
              </w:rPr>
              <w:t>Dubai authority / emergency / DCAA contact and portal</w:t>
            </w:r>
          </w:p>
        </w:tc>
        <w:tc>
          <w:tcPr>
            <w:tcW w:type="dxa" w:w="5328"/>
            <w:vAlign w:val="top"/>
          </w:tcPr>
          <w:p>
            <w:r/>
            <w:r>
              <w:rPr>
                <w:rFonts w:ascii="Aptos" w:hAnsi="Aptos"/>
                <w:b w:val="0"/>
                <w:sz w:val="17"/>
              </w:rPr>
            </w:r>
          </w:p>
        </w:tc>
      </w:tr>
      <w:tr>
        <w:tc>
          <w:tcPr>
            <w:tcW w:type="dxa" w:w="5328"/>
            <w:vAlign w:val="top"/>
          </w:tcPr>
          <w:p>
            <w:r/>
            <w:r>
              <w:rPr>
                <w:rFonts w:ascii="Aptos" w:hAnsi="Aptos"/>
                <w:b w:val="0"/>
                <w:sz w:val="17"/>
              </w:rPr>
              <w:t>Abu Dhabi concerned SRA / ADOSH Form G contact/portal</w:t>
            </w:r>
          </w:p>
        </w:tc>
        <w:tc>
          <w:tcPr>
            <w:tcW w:type="dxa" w:w="5328"/>
            <w:vAlign w:val="top"/>
          </w:tcPr>
          <w:p>
            <w:r/>
            <w:r>
              <w:rPr>
                <w:rFonts w:ascii="Aptos" w:hAnsi="Aptos"/>
                <w:b w:val="0"/>
                <w:sz w:val="17"/>
              </w:rPr>
            </w:r>
          </w:p>
        </w:tc>
      </w:tr>
      <w:tr>
        <w:tc>
          <w:tcPr>
            <w:tcW w:type="dxa" w:w="5328"/>
            <w:vAlign w:val="top"/>
          </w:tcPr>
          <w:p>
            <w:r/>
            <w:r>
              <w:rPr>
                <w:rFonts w:ascii="Aptos" w:hAnsi="Aptos"/>
                <w:b w:val="0"/>
                <w:sz w:val="17"/>
              </w:rPr>
              <w:t>Developer/free-zone/port authority contact</w:t>
            </w:r>
          </w:p>
        </w:tc>
        <w:tc>
          <w:tcPr>
            <w:tcW w:type="dxa" w:w="5328"/>
            <w:vAlign w:val="top"/>
          </w:tcPr>
          <w:p>
            <w:r/>
            <w:r>
              <w:rPr>
                <w:rFonts w:ascii="Aptos" w:hAnsi="Aptos"/>
                <w:b w:val="0"/>
                <w:sz w:val="17"/>
              </w:rPr>
            </w:r>
          </w:p>
        </w:tc>
      </w:tr>
      <w:tr>
        <w:tc>
          <w:tcPr>
            <w:tcW w:type="dxa" w:w="5328"/>
            <w:vAlign w:val="top"/>
          </w:tcPr>
          <w:p>
            <w:r/>
            <w:r>
              <w:rPr>
                <w:rFonts w:ascii="Aptos" w:hAnsi="Aptos"/>
                <w:b w:val="0"/>
                <w:sz w:val="17"/>
              </w:rPr>
              <w:t>Police / Civil Defence / ambulance access information</w:t>
            </w:r>
          </w:p>
        </w:tc>
        <w:tc>
          <w:tcPr>
            <w:tcW w:type="dxa" w:w="5328"/>
            <w:vAlign w:val="top"/>
          </w:tcPr>
          <w:p>
            <w:r/>
            <w:r>
              <w:rPr>
                <w:rFonts w:ascii="Aptos" w:hAnsi="Aptos"/>
                <w:b w:val="0"/>
                <w:sz w:val="17"/>
              </w:rPr>
            </w:r>
          </w:p>
        </w:tc>
      </w:tr>
      <w:tr>
        <w:tc>
          <w:tcPr>
            <w:tcW w:type="dxa" w:w="5328"/>
            <w:vAlign w:val="top"/>
          </w:tcPr>
          <w:p>
            <w:r/>
            <w:r>
              <w:rPr>
                <w:rFonts w:ascii="Aptos" w:hAnsi="Aptos"/>
                <w:b w:val="0"/>
                <w:sz w:val="17"/>
              </w:rPr>
              <w:t>Crane manufacturer technical contact</w:t>
            </w:r>
          </w:p>
        </w:tc>
        <w:tc>
          <w:tcPr>
            <w:tcW w:type="dxa" w:w="5328"/>
            <w:vAlign w:val="top"/>
          </w:tcPr>
          <w:p>
            <w:r/>
            <w:r>
              <w:rPr>
                <w:rFonts w:ascii="Aptos" w:hAnsi="Aptos"/>
                <w:b w:val="0"/>
                <w:sz w:val="17"/>
              </w:rPr>
            </w:r>
          </w:p>
        </w:tc>
      </w:tr>
      <w:tr>
        <w:tc>
          <w:tcPr>
            <w:tcW w:type="dxa" w:w="5328"/>
            <w:vAlign w:val="top"/>
          </w:tcPr>
          <w:p>
            <w:r/>
            <w:r>
              <w:rPr>
                <w:rFonts w:ascii="Aptos" w:hAnsi="Aptos"/>
                <w:b w:val="0"/>
                <w:sz w:val="17"/>
              </w:rPr>
              <w:t>Independent inspection body 24-hour contact</w:t>
            </w:r>
          </w:p>
        </w:tc>
        <w:tc>
          <w:tcPr>
            <w:tcW w:type="dxa" w:w="5328"/>
            <w:vAlign w:val="top"/>
          </w:tcPr>
          <w:p>
            <w:r/>
            <w:r>
              <w:rPr>
                <w:rFonts w:ascii="Aptos" w:hAnsi="Aptos"/>
                <w:b w:val="0"/>
                <w:sz w:val="17"/>
              </w:rPr>
            </w:r>
          </w:p>
        </w:tc>
      </w:tr>
      <w:tr>
        <w:tc>
          <w:tcPr>
            <w:tcW w:type="dxa" w:w="5328"/>
            <w:vAlign w:val="top"/>
          </w:tcPr>
          <w:p>
            <w:r/>
            <w:r>
              <w:rPr>
                <w:rFonts w:ascii="Aptos" w:hAnsi="Aptos"/>
                <w:b w:val="0"/>
                <w:sz w:val="17"/>
              </w:rPr>
              <w:t>Principal contractor crisis lead and alternate</w:t>
            </w:r>
          </w:p>
        </w:tc>
        <w:tc>
          <w:tcPr>
            <w:tcW w:type="dxa" w:w="5328"/>
            <w:vAlign w:val="top"/>
          </w:tcPr>
          <w:p>
            <w:r/>
            <w:r>
              <w:rPr>
                <w:rFonts w:ascii="Aptos" w:hAnsi="Aptos"/>
                <w:b w:val="0"/>
                <w:sz w:val="17"/>
              </w:rPr>
            </w:r>
          </w:p>
        </w:tc>
      </w:tr>
      <w:tr>
        <w:tc>
          <w:tcPr>
            <w:tcW w:type="dxa" w:w="5328"/>
            <w:vAlign w:val="top"/>
          </w:tcPr>
          <w:p>
            <w:r/>
            <w:r>
              <w:rPr>
                <w:rFonts w:ascii="Aptos" w:hAnsi="Aptos"/>
                <w:b w:val="0"/>
                <w:sz w:val="17"/>
              </w:rPr>
              <w:t>Project notification times agreed by contract/authority</w:t>
            </w:r>
          </w:p>
        </w:tc>
        <w:tc>
          <w:tcPr>
            <w:tcW w:type="dxa" w:w="5328"/>
            <w:vAlign w:val="top"/>
          </w:tcPr>
          <w:p>
            <w:r/>
            <w:r>
              <w:rPr>
                <w:rFonts w:ascii="Aptos" w:hAnsi="Aptos"/>
                <w:b w:val="0"/>
                <w:sz w:val="17"/>
              </w:rPr>
            </w:r>
          </w:p>
        </w:tc>
      </w:tr>
    </w:tbl>
    <w:p/>
    <w:p>
      <w:pPr>
        <w:pStyle w:val="Heading1"/>
      </w:pPr>
      <w:r>
        <w:rPr>
          <w:rFonts w:ascii="Aptos Display" w:hAnsi="Aptos Display"/>
          <w:color w:val="17365D"/>
        </w:rPr>
        <w:t>References</w:t>
      </w:r>
    </w:p>
    <w:tbl>
      <w:tblPr>
        <w:tblStyle w:val="TableGrid"/>
        <w:tblW w:type="auto" w:w="0"/>
        <w:jc w:val="center"/>
        <w:tblLook w:firstColumn="1" w:firstRow="1" w:lastColumn="0" w:lastRow="0" w:noHBand="0" w:noVBand="1" w:val="04A0"/>
      </w:tblPr>
      <w:tblGrid>
        <w:gridCol w:w="5328"/>
        <w:gridCol w:w="5328"/>
      </w:tblGrid>
      <w:tr>
        <w:tc>
          <w:tcPr>
            <w:tcW w:type="dxa" w:w="5328"/>
            <w:vAlign w:val="top"/>
            <w:shd w:fill="1F4E78"/>
          </w:tcPr>
          <w:p>
            <w:r/>
            <w:r>
              <w:rPr>
                <w:rFonts w:ascii="Aptos" w:hAnsi="Aptos"/>
                <w:b/>
                <w:color w:val="FFFFFF"/>
                <w:sz w:val="17"/>
              </w:rPr>
              <w:t>Ref.</w:t>
            </w:r>
          </w:p>
        </w:tc>
        <w:tc>
          <w:tcPr>
            <w:tcW w:type="dxa" w:w="5328"/>
            <w:vAlign w:val="top"/>
            <w:shd w:fill="1F4E78"/>
          </w:tcPr>
          <w:p>
            <w:r/>
            <w:r>
              <w:rPr>
                <w:rFonts w:ascii="Aptos" w:hAnsi="Aptos"/>
                <w:b/>
                <w:color w:val="FFFFFF"/>
                <w:sz w:val="17"/>
              </w:rPr>
              <w:t>Source</w:t>
            </w:r>
          </w:p>
        </w:tc>
      </w:tr>
      <w:tr>
        <w:tc>
          <w:tcPr>
            <w:tcW w:type="dxa" w:w="5328"/>
            <w:vAlign w:val="top"/>
          </w:tcPr>
          <w:p>
            <w:r/>
            <w:r>
              <w:rPr>
                <w:rFonts w:ascii="Aptos" w:hAnsi="Aptos"/>
                <w:b w:val="0"/>
                <w:sz w:val="17"/>
              </w:rPr>
              <w:t>[1]</w:t>
            </w:r>
          </w:p>
        </w:tc>
        <w:tc>
          <w:tcPr>
            <w:tcW w:type="dxa" w:w="5328"/>
            <w:vAlign w:val="top"/>
          </w:tcPr>
          <w:p>
            <w:r/>
            <w:r>
              <w:rPr>
                <w:rFonts w:ascii="Aptos" w:hAnsi="Aptos"/>
                <w:b w:val="0"/>
                <w:sz w:val="17"/>
              </w:rPr>
              <w:t>ADPHC, ADOSH-SF Mechanism 11.0 — Incident Notification, Investigation and Reporting, v4.0 (July 2024): https://www.adphc.gov.ae/-/media/Project/ADPHC/ADPHC/PDF/OSHAD-SF/Mechanisms/11---Incident-Notification-Eng.pdf</w:t>
            </w:r>
          </w:p>
        </w:tc>
      </w:tr>
      <w:tr>
        <w:tc>
          <w:tcPr>
            <w:tcW w:type="dxa" w:w="5328"/>
            <w:vAlign w:val="top"/>
          </w:tcPr>
          <w:p>
            <w:r/>
            <w:r>
              <w:rPr>
                <w:rFonts w:ascii="Aptos" w:hAnsi="Aptos"/>
                <w:b w:val="0"/>
                <w:sz w:val="17"/>
              </w:rPr>
              <w:t>[2]</w:t>
            </w:r>
          </w:p>
        </w:tc>
        <w:tc>
          <w:tcPr>
            <w:tcW w:type="dxa" w:w="5328"/>
            <w:vAlign w:val="top"/>
          </w:tcPr>
          <w:p>
            <w:r/>
            <w:r>
              <w:rPr>
                <w:rFonts w:ascii="Aptos" w:hAnsi="Aptos"/>
                <w:b w:val="0"/>
                <w:sz w:val="17"/>
              </w:rPr>
              <w:t>Dubai Development Authority construction services and circulars: https://dda.gov.ae/en/planning-development/construction ; https://dda.gov.ae/en/legal-database/circulars-and-announcements</w:t>
            </w:r>
          </w:p>
        </w:tc>
      </w:tr>
      <w:tr>
        <w:tc>
          <w:tcPr>
            <w:tcW w:type="dxa" w:w="5328"/>
            <w:vAlign w:val="top"/>
          </w:tcPr>
          <w:p>
            <w:r/>
            <w:r>
              <w:rPr>
                <w:rFonts w:ascii="Aptos" w:hAnsi="Aptos"/>
                <w:b w:val="0"/>
                <w:sz w:val="17"/>
              </w:rPr>
              <w:t>[3]</w:t>
            </w:r>
          </w:p>
        </w:tc>
        <w:tc>
          <w:tcPr>
            <w:tcW w:type="dxa" w:w="5328"/>
            <w:vAlign w:val="top"/>
          </w:tcPr>
          <w:p>
            <w:r/>
            <w:r>
              <w:rPr>
                <w:rFonts w:ascii="Aptos" w:hAnsi="Aptos"/>
                <w:b w:val="0"/>
                <w:sz w:val="17"/>
              </w:rPr>
              <w:t>UAE Government — Handling emergencies: https://u.ae/en/information-and-services/justice-safety-and-the-law/handling-emergencies</w:t>
            </w:r>
          </w:p>
        </w:tc>
      </w:tr>
      <w:tr>
        <w:tc>
          <w:tcPr>
            <w:tcW w:type="dxa" w:w="5328"/>
            <w:vAlign w:val="top"/>
          </w:tcPr>
          <w:p>
            <w:r/>
            <w:r>
              <w:rPr>
                <w:rFonts w:ascii="Aptos" w:hAnsi="Aptos"/>
                <w:b w:val="0"/>
                <w:sz w:val="17"/>
              </w:rPr>
              <w:t>[4]</w:t>
            </w:r>
          </w:p>
        </w:tc>
        <w:tc>
          <w:tcPr>
            <w:tcW w:type="dxa" w:w="5328"/>
            <w:vAlign w:val="top"/>
          </w:tcPr>
          <w:p>
            <w:r/>
            <w:r>
              <w:rPr>
                <w:rFonts w:ascii="Aptos" w:hAnsi="Aptos"/>
                <w:b w:val="0"/>
                <w:sz w:val="17"/>
              </w:rPr>
              <w:t>Project-specific permits/NOCs, manufacturer manual, developer/free-zone/port procedure and emergency response plan.</w:t>
            </w:r>
          </w:p>
        </w:tc>
      </w:tr>
    </w:tbl>
    <w:p/>
    <w:sectPr w:rsidR="00FC693F" w:rsidRPr="0006063C" w:rsidSect="00034616">
      <w:pgSz w:w="12240" w:h="15840"/>
      <w:pgMar w:top="792" w:right="792" w:bottom="792"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