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80"/>
        <w:jc w:val="center"/>
      </w:pPr>
      <w:r>
        <w:rPr>
          <w:rFonts w:ascii="Arial" w:hAnsi="Arial"/>
          <w:b/>
          <w:color w:val="17365D"/>
          <w:sz w:val="35"/>
        </w:rPr>
        <w:t>STANDARD OPERATING PROCEDURE</w:t>
      </w:r>
    </w:p>
    <w:p>
      <w:pPr>
        <w:jc w:val="center"/>
      </w:pPr>
      <w:r>
        <w:rPr>
          <w:rFonts w:ascii="Arial" w:hAnsi="Arial"/>
          <w:i/>
          <w:color w:val="404040"/>
          <w:sz w:val="20"/>
        </w:rPr>
        <w:t>Foodborne Illness Outbreak and Water Contamination Incident Management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4"/>
        <w:gridCol w:w="2664"/>
        <w:gridCol w:w="2664"/>
        <w:gridCol w:w="2664"/>
      </w:tblGrid>
      <w:tr>
        <w:trPr>
          <w:tblHeader w:val="true"/>
        </w:trPr>
        <w:tc>
          <w:tcPr>
            <w:tcW w:type="dxa" w:w="1613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Document field</w:t>
            </w:r>
          </w:p>
        </w:tc>
        <w:tc>
          <w:tcPr>
            <w:tcW w:type="dxa" w:w="4104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Detail</w:t>
            </w:r>
          </w:p>
        </w:tc>
        <w:tc>
          <w:tcPr>
            <w:tcW w:type="dxa" w:w="1613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Document field</w:t>
            </w:r>
          </w:p>
        </w:tc>
        <w:tc>
          <w:tcPr>
            <w:tcW w:type="dxa" w:w="331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Detail</w:t>
            </w:r>
          </w:p>
        </w:tc>
      </w:tr>
      <w:tr>
        <w:tc>
          <w:tcPr>
            <w:tcW w:type="dxa" w:w="1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Document ID</w:t>
            </w:r>
          </w:p>
        </w:tc>
        <w:tc>
          <w:tcPr>
            <w:tcW w:type="dxa" w:w="410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[Enter SOP ID]</w:t>
            </w:r>
          </w:p>
        </w:tc>
        <w:tc>
          <w:tcPr>
            <w:tcW w:type="dxa" w:w="1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Revision</w:t>
            </w:r>
          </w:p>
        </w:tc>
        <w:tc>
          <w:tcPr>
            <w:tcW w:type="dxa" w:w="331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00</w:t>
            </w:r>
          </w:p>
        </w:tc>
      </w:tr>
      <w:tr>
        <w:tc>
          <w:tcPr>
            <w:tcW w:type="dxa" w:w="1613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Owner</w:t>
            </w:r>
          </w:p>
        </w:tc>
        <w:tc>
          <w:tcPr>
            <w:tcW w:type="dxa" w:w="410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Food Safety In-Charge / HSE Manager</w:t>
            </w:r>
          </w:p>
        </w:tc>
        <w:tc>
          <w:tcPr>
            <w:tcW w:type="dxa" w:w="1613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Approval</w:t>
            </w:r>
          </w:p>
        </w:tc>
        <w:tc>
          <w:tcPr>
            <w:tcW w:type="dxa" w:w="331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[Enter authorised signatory]</w:t>
            </w:r>
          </w:p>
        </w:tc>
      </w:tr>
      <w:tr>
        <w:tc>
          <w:tcPr>
            <w:tcW w:type="dxa" w:w="1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Applies to</w:t>
            </w:r>
          </w:p>
        </w:tc>
        <w:tc>
          <w:tcPr>
            <w:tcW w:type="dxa" w:w="410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Remote camp kitchens, food distribution, potable-water storage, tanker water and ice</w:t>
            </w:r>
          </w:p>
        </w:tc>
        <w:tc>
          <w:tcPr>
            <w:tcW w:type="dxa" w:w="1613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Review cycle</w:t>
            </w:r>
          </w:p>
        </w:tc>
        <w:tc>
          <w:tcPr>
            <w:tcW w:type="dxa" w:w="331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Annual and after every incident</w:t>
            </w:r>
          </w:p>
        </w:tc>
      </w:tr>
      <w:tr>
        <w:tc>
          <w:tcPr>
            <w:tcW w:type="dxa" w:w="1613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Effective date</w:t>
            </w:r>
          </w:p>
        </w:tc>
        <w:tc>
          <w:tcPr>
            <w:tcW w:type="dxa" w:w="410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[Enter date]</w:t>
            </w:r>
          </w:p>
        </w:tc>
        <w:tc>
          <w:tcPr>
            <w:tcW w:type="dxa" w:w="1613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Source access</w:t>
            </w:r>
          </w:p>
        </w:tc>
        <w:tc>
          <w:tcPr>
            <w:tcW w:type="dxa" w:w="331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19-Aug-2026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CE4D6"/>
          </w:tcPr>
          <w:p>
            <w:r>
              <w:rPr>
                <w:b/>
                <w:color w:val="D97820"/>
              </w:rPr>
              <w:t xml:space="preserve">Important control: </w:t>
            </w:r>
            <w:r>
              <w:t>This SOP is a working operational framework. Emergency-services, medical, client, supplier and competent-authority instructions override it. Confirm the controlling Arabic text, current authority channels and project-specific emergency plan before issue.</w:t>
            </w:r>
          </w:p>
        </w:tc>
      </w:tr>
    </w:tbl>
    <w:p>
      <w:pPr>
        <w:spacing w:after="0"/>
      </w:pPr>
    </w:p>
    <w:p>
      <w:pPr>
        <w:pStyle w:val="Heading1"/>
      </w:pPr>
      <w:r>
        <w:t>1. Purpose, Scope and Intended Outcome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2088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Topic</w:t>
            </w:r>
          </w:p>
        </w:tc>
        <w:tc>
          <w:tcPr>
            <w:tcW w:type="dxa" w:w="8568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Requirement</w:t>
            </w:r>
          </w:p>
        </w:tc>
      </w:tr>
      <w:tr>
        <w:tc>
          <w:tcPr>
            <w:tcW w:type="dxa" w:w="208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Purpose</w:t>
            </w:r>
          </w:p>
        </w:tc>
        <w:tc>
          <w:tcPr>
            <w:tcW w:type="dxa" w:w="856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To ensure suspected foodborne illness, contaminated water, ice, food or tanker integrity events are contained, medically escalated, notified, investigated and closed with objective evidence.</w:t>
            </w:r>
          </w:p>
        </w:tc>
      </w:tr>
      <w:tr>
        <w:tc>
          <w:tcPr>
            <w:tcW w:type="dxa" w:w="208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Scope</w:t>
            </w:r>
          </w:p>
        </w:tc>
        <w:tc>
          <w:tcPr>
            <w:tcW w:type="dxa" w:w="856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All remote camp food preparation, holding, transport, service, potable water/ice supply, water tankers, receiving tanks, food stores and workforce accommodation served by the camp.</w:t>
            </w:r>
          </w:p>
        </w:tc>
      </w:tr>
      <w:tr>
        <w:tc>
          <w:tcPr>
            <w:tcW w:type="dxa" w:w="208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Outcome</w:t>
            </w:r>
          </w:p>
        </w:tc>
        <w:tc>
          <w:tcPr>
            <w:tcW w:type="dxa" w:w="856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No further exposure; affected persons receive appropriate medical support; evidence and traceability are protected; legal notification/withdrawal duties are fulfilled; normal operations resume only after verified corrective action.</w:t>
            </w:r>
          </w:p>
        </w:tc>
      </w:tr>
      <w:tr>
        <w:tc>
          <w:tcPr>
            <w:tcW w:type="dxa" w:w="208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Non-diagnostic role</w:t>
            </w:r>
          </w:p>
        </w:tc>
        <w:tc>
          <w:tcPr>
            <w:tcW w:type="dxa" w:w="856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Camp personnel do not diagnose illness, determine causation or issue public health statements. They document observable facts and implement immediate safety controls.</w:t>
            </w:r>
          </w:p>
        </w:tc>
      </w:tr>
    </w:tbl>
    <w:p>
      <w:pPr>
        <w:spacing w:after="0"/>
      </w:pPr>
    </w:p>
    <w:p>
      <w:pPr>
        <w:pStyle w:val="Heading1"/>
      </w:pPr>
      <w:r>
        <w:t>2. Regulatory and Reference Basis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223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Reference</w:t>
            </w:r>
          </w:p>
        </w:tc>
        <w:tc>
          <w:tcPr>
            <w:tcW w:type="dxa" w:w="2016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Jurisdiction</w:t>
            </w:r>
          </w:p>
        </w:tc>
        <w:tc>
          <w:tcPr>
            <w:tcW w:type="dxa" w:w="6408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Operational relevance</w:t>
            </w:r>
          </w:p>
        </w:tc>
      </w:tr>
      <w:tr>
        <w:tc>
          <w:tcPr>
            <w:tcW w:type="dxa" w:w="223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Federal Law No. 10 of 2015 Concerning Food Safety [1]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UAE</w:t>
            </w:r>
          </w:p>
        </w:tc>
        <w:tc>
          <w:tcPr>
            <w:tcW w:type="dxa" w:w="640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Requires organisation officer to apply risk-analysis food safety controls, keep requested registers, notify risks, track food and withdraw/recover non-compliant food.</w:t>
            </w:r>
          </w:p>
        </w:tc>
      </w:tr>
      <w:tr>
        <w:tc>
          <w:tcPr>
            <w:tcW w:type="dxa" w:w="223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Dubai Municipality Food Safety Department [2]; UAE emergency guidance [3]</w:t>
            </w:r>
          </w:p>
        </w:tc>
        <w:tc>
          <w:tcPr>
            <w:tcW w:type="dxa" w:w="201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Dubai / UAE</w:t>
            </w:r>
          </w:p>
        </w:tc>
        <w:tc>
          <w:tcPr>
            <w:tcW w:type="dxa" w:w="640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Food Safety Department investigates/monitors foodborne illness. UAE portal identifies Dubai Municipality 800900 / foodpoisoning@dm.gov.ae for food-safety issues and 998/999 for emergency services.</w:t>
            </w:r>
          </w:p>
        </w:tc>
      </w:tr>
      <w:tr>
        <w:tc>
          <w:tcPr>
            <w:tcW w:type="dxa" w:w="223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ADAFSA public inspection/reporting information [4]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Abu Dhabi</w:t>
            </w:r>
          </w:p>
        </w:tc>
        <w:tc>
          <w:tcPr>
            <w:tcW w:type="dxa" w:w="640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ADAFSA follows up inspection, administrative order and closure matters; Abu Dhabi Government 800555 is stated public reporting route.</w:t>
            </w:r>
          </w:p>
        </w:tc>
      </w:tr>
      <w:tr>
        <w:tc>
          <w:tcPr>
            <w:tcW w:type="dxa" w:w="223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Abu Dhabi DoE Tankering Regulation [5]</w:t>
            </w:r>
          </w:p>
        </w:tc>
        <w:tc>
          <w:tcPr>
            <w:tcW w:type="dxa" w:w="201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Abu Dhabi</w:t>
            </w:r>
          </w:p>
        </w:tc>
        <w:tc>
          <w:tcPr>
            <w:tcW w:type="dxa" w:w="640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Tanker responsible entities carry applicable HSE/incident reporting and certification responsibilities; camp retains receiving, storage and food/ice risk control.</w:t>
            </w:r>
          </w:p>
        </w:tc>
      </w:tr>
      <w:tr>
        <w:tc>
          <w:tcPr>
            <w:tcW w:type="dxa" w:w="223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Project-approved HACCP plan / emergency plan</w:t>
            </w:r>
          </w:p>
        </w:tc>
        <w:tc>
          <w:tcPr>
            <w:tcW w:type="dxa" w:w="201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Site-specific</w:t>
            </w:r>
          </w:p>
        </w:tc>
        <w:tc>
          <w:tcPr>
            <w:tcW w:type="dxa" w:w="640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Controls the approved critical limits, sampling route, product disposition, management notification and recovery process.</w:t>
            </w:r>
          </w:p>
        </w:tc>
      </w:tr>
    </w:tbl>
    <w:p>
      <w:pPr>
        <w:spacing w:after="0"/>
      </w:pPr>
    </w:p>
    <w:p>
      <w:pPr>
        <w:pStyle w:val="Heading1"/>
      </w:pPr>
      <w:r>
        <w:t>3. Definitions and Activation Triggers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2376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Term / trigger</w:t>
            </w:r>
          </w:p>
        </w:tc>
        <w:tc>
          <w:tcPr>
            <w:tcW w:type="dxa" w:w="8280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Working meaning or activation point</w:t>
            </w:r>
          </w:p>
        </w:tc>
      </w:tr>
      <w:tr>
        <w:tc>
          <w:tcPr>
            <w:tcW w:type="dxa" w:w="237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Credible food risk</w:t>
            </w:r>
          </w:p>
        </w:tc>
        <w:tc>
          <w:tcPr>
            <w:tcW w:type="dxa" w:w="828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Food under camp control may pose consumer-health risk: suspected spoilage, contamination, temperature control failure, integrity breach, complaint or authority alert.</w:t>
            </w:r>
          </w:p>
        </w:tc>
      </w:tr>
      <w:tr>
        <w:tc>
          <w:tcPr>
            <w:tcW w:type="dxa" w:w="237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Foodborne illness concern</w:t>
            </w:r>
          </w:p>
        </w:tc>
        <w:tc>
          <w:tcPr>
            <w:tcW w:type="dxa" w:w="828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One severe illness following food/water exposure, a credible cluster of gastrointestinal symptoms, a complaint linked to a meal/water/ice, or health/authority advice requiring investigation.</w:t>
            </w:r>
          </w:p>
        </w:tc>
      </w:tr>
      <w:tr>
        <w:tc>
          <w:tcPr>
            <w:tcW w:type="dxa" w:w="237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Water contamination concern</w:t>
            </w:r>
          </w:p>
        </w:tc>
        <w:tc>
          <w:tcPr>
            <w:tcW w:type="dxa" w:w="828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Abnormal odour/colour/sediment; failed/uncertain test; tanker/line/tank integrity issue; non-potable cross-use concern; unauthorised source; power/disinfection failure; or supplier/authority alert.</w:t>
            </w:r>
          </w:p>
        </w:tc>
      </w:tr>
      <w:tr>
        <w:tc>
          <w:tcPr>
            <w:tcW w:type="dxa" w:w="237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Hold / quarantine</w:t>
            </w:r>
          </w:p>
        </w:tc>
        <w:tc>
          <w:tcPr>
            <w:tcW w:type="dxa" w:w="828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Physical and documented segregation with clear DO NOT USE / DO NOT DISTRIBUTE status, batch/tank ID and custodian.</w:t>
            </w:r>
          </w:p>
        </w:tc>
      </w:tr>
      <w:tr>
        <w:tc>
          <w:tcPr>
            <w:tcW w:type="dxa" w:w="237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Withdrawal / recovery</w:t>
            </w:r>
          </w:p>
        </w:tc>
        <w:tc>
          <w:tcPr>
            <w:tcW w:type="dxa" w:w="828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Withdrawal prevents non-compliant food reaching end user; recovery retrieves it after reaching recipients. Both require traceable communication and authority notification under the federal law.</w:t>
            </w:r>
          </w:p>
        </w:tc>
      </w:tr>
      <w:tr>
        <w:tc>
          <w:tcPr>
            <w:tcW w:type="dxa" w:w="237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Incident Lead</w:t>
            </w:r>
          </w:p>
        </w:tc>
        <w:tc>
          <w:tcPr>
            <w:tcW w:type="dxa" w:w="828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The Food Safety In-Charge or formally appointed alternate responsible for command, notification log, evidence pack and status reporting.</w:t>
            </w:r>
          </w:p>
        </w:tc>
      </w:tr>
    </w:tbl>
    <w:p>
      <w:pPr>
        <w:spacing w:after="0"/>
      </w:pPr>
    </w:p>
    <w:p>
      <w:pPr>
        <w:pStyle w:val="Heading1"/>
      </w:pPr>
      <w:r>
        <w:t>4. Roles and RACI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522"/>
        <w:gridCol w:w="1522"/>
        <w:gridCol w:w="1522"/>
        <w:gridCol w:w="1522"/>
        <w:gridCol w:w="1522"/>
        <w:gridCol w:w="1522"/>
        <w:gridCol w:w="1522"/>
      </w:tblGrid>
      <w:tr>
        <w:trPr>
          <w:tblHeader w:val="true"/>
        </w:trPr>
        <w:tc>
          <w:tcPr>
            <w:tcW w:type="dxa" w:w="259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Activity</w:t>
            </w:r>
          </w:p>
        </w:tc>
        <w:tc>
          <w:tcPr>
            <w:tcW w:type="dxa" w:w="936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Camp Manager</w:t>
            </w:r>
          </w:p>
        </w:tc>
        <w:tc>
          <w:tcPr>
            <w:tcW w:type="dxa" w:w="1656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Food Safety In-Charge</w:t>
            </w:r>
          </w:p>
        </w:tc>
        <w:tc>
          <w:tcPr>
            <w:tcW w:type="dxa" w:w="1656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Camp Medic / Welfare</w:t>
            </w:r>
          </w:p>
        </w:tc>
        <w:tc>
          <w:tcPr>
            <w:tcW w:type="dxa" w:w="1440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HSE Manager</w:t>
            </w:r>
          </w:p>
        </w:tc>
        <w:tc>
          <w:tcPr>
            <w:tcW w:type="dxa" w:w="1440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Storekeeper / Receiver</w:t>
            </w:r>
          </w:p>
        </w:tc>
        <w:tc>
          <w:tcPr>
            <w:tcW w:type="dxa" w:w="1584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Supplier / Tanker Entity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Activate plan / stop service</w:t>
            </w:r>
          </w:p>
        </w:tc>
        <w:tc>
          <w:tcPr>
            <w:tcW w:type="dxa" w:w="93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</w:t>
            </w:r>
          </w:p>
        </w:tc>
        <w:tc>
          <w:tcPr>
            <w:tcW w:type="dxa" w:w="16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R</w:t>
            </w:r>
          </w:p>
        </w:tc>
        <w:tc>
          <w:tcPr>
            <w:tcW w:type="dxa" w:w="16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I</w:t>
            </w:r>
          </w:p>
        </w:tc>
      </w:tr>
      <w:tr>
        <w:tc>
          <w:tcPr>
            <w:tcW w:type="dxa" w:w="259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Medical escalation / welfare</w:t>
            </w:r>
          </w:p>
        </w:tc>
        <w:tc>
          <w:tcPr>
            <w:tcW w:type="dxa" w:w="93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</w:t>
            </w:r>
          </w:p>
        </w:tc>
        <w:tc>
          <w:tcPr>
            <w:tcW w:type="dxa" w:w="165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</w:t>
            </w:r>
          </w:p>
        </w:tc>
        <w:tc>
          <w:tcPr>
            <w:tcW w:type="dxa" w:w="165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R</w:t>
            </w:r>
          </w:p>
        </w:tc>
        <w:tc>
          <w:tcPr>
            <w:tcW w:type="dxa" w:w="144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</w:t>
            </w:r>
          </w:p>
        </w:tc>
        <w:tc>
          <w:tcPr>
            <w:tcW w:type="dxa" w:w="144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I</w:t>
            </w:r>
          </w:p>
        </w:tc>
        <w:tc>
          <w:tcPr>
            <w:tcW w:type="dxa" w:w="158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I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Food / water hold and traceability</w:t>
            </w:r>
          </w:p>
        </w:tc>
        <w:tc>
          <w:tcPr>
            <w:tcW w:type="dxa" w:w="93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</w:t>
            </w:r>
          </w:p>
        </w:tc>
        <w:tc>
          <w:tcPr>
            <w:tcW w:type="dxa" w:w="16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A/R</w:t>
            </w:r>
          </w:p>
        </w:tc>
        <w:tc>
          <w:tcPr>
            <w:tcW w:type="dxa" w:w="16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I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R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</w:t>
            </w:r>
          </w:p>
        </w:tc>
      </w:tr>
      <w:tr>
        <w:tc>
          <w:tcPr>
            <w:tcW w:type="dxa" w:w="259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Authority / client notification</w:t>
            </w:r>
          </w:p>
        </w:tc>
        <w:tc>
          <w:tcPr>
            <w:tcW w:type="dxa" w:w="93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</w:t>
            </w:r>
          </w:p>
        </w:tc>
        <w:tc>
          <w:tcPr>
            <w:tcW w:type="dxa" w:w="165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R</w:t>
            </w:r>
          </w:p>
        </w:tc>
        <w:tc>
          <w:tcPr>
            <w:tcW w:type="dxa" w:w="165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</w:t>
            </w:r>
          </w:p>
        </w:tc>
        <w:tc>
          <w:tcPr>
            <w:tcW w:type="dxa" w:w="144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</w:t>
            </w:r>
          </w:p>
        </w:tc>
        <w:tc>
          <w:tcPr>
            <w:tcW w:type="dxa" w:w="144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I</w:t>
            </w:r>
          </w:p>
        </w:tc>
        <w:tc>
          <w:tcPr>
            <w:tcW w:type="dxa" w:w="158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Tanker/supplier escalation</w:t>
            </w:r>
          </w:p>
        </w:tc>
        <w:tc>
          <w:tcPr>
            <w:tcW w:type="dxa" w:w="93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I</w:t>
            </w:r>
          </w:p>
        </w:tc>
        <w:tc>
          <w:tcPr>
            <w:tcW w:type="dxa" w:w="16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A/R</w:t>
            </w:r>
          </w:p>
        </w:tc>
        <w:tc>
          <w:tcPr>
            <w:tcW w:type="dxa" w:w="16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I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R</w:t>
            </w:r>
          </w:p>
        </w:tc>
      </w:tr>
      <w:tr>
        <w:tc>
          <w:tcPr>
            <w:tcW w:type="dxa" w:w="259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Sampling / evidence pack</w:t>
            </w:r>
          </w:p>
        </w:tc>
        <w:tc>
          <w:tcPr>
            <w:tcW w:type="dxa" w:w="93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I</w:t>
            </w:r>
          </w:p>
        </w:tc>
        <w:tc>
          <w:tcPr>
            <w:tcW w:type="dxa" w:w="165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A/R</w:t>
            </w:r>
          </w:p>
        </w:tc>
        <w:tc>
          <w:tcPr>
            <w:tcW w:type="dxa" w:w="165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</w:t>
            </w:r>
          </w:p>
        </w:tc>
        <w:tc>
          <w:tcPr>
            <w:tcW w:type="dxa" w:w="144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</w:t>
            </w:r>
          </w:p>
        </w:tc>
        <w:tc>
          <w:tcPr>
            <w:tcW w:type="dxa" w:w="144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R</w:t>
            </w:r>
          </w:p>
        </w:tc>
        <w:tc>
          <w:tcPr>
            <w:tcW w:type="dxa" w:w="158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</w:t>
            </w:r>
          </w:p>
        </w:tc>
      </w:tr>
      <w:tr>
        <w:tc>
          <w:tcPr>
            <w:tcW w:type="dxa" w:w="25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CAPA / verification / release</w:t>
            </w:r>
          </w:p>
        </w:tc>
        <w:tc>
          <w:tcPr>
            <w:tcW w:type="dxa" w:w="93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</w:t>
            </w:r>
          </w:p>
        </w:tc>
        <w:tc>
          <w:tcPr>
            <w:tcW w:type="dxa" w:w="16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R</w:t>
            </w:r>
          </w:p>
        </w:tc>
        <w:tc>
          <w:tcPr>
            <w:tcW w:type="dxa" w:w="16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</w:t>
            </w:r>
          </w:p>
        </w:tc>
        <w:tc>
          <w:tcPr>
            <w:tcW w:type="dxa" w:w="144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</w:t>
            </w:r>
          </w:p>
        </w:tc>
        <w:tc>
          <w:tcPr>
            <w:tcW w:type="dxa" w:w="15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</w:t>
            </w:r>
          </w:p>
        </w:tc>
      </w:tr>
    </w:tbl>
    <w:p>
      <w:pPr>
        <w:spacing w:after="0"/>
      </w:pPr>
    </w:p>
    <w:p>
      <w:pPr/>
      <w:r>
        <w:t>R = Responsible; A = Accountable; C = Consulted; I = Informed. Nominate named alternates in the camp emergency contact list.</w:t>
      </w:r>
    </w:p>
    <w:p>
      <w:pPr>
        <w:pStyle w:val="Heading1"/>
      </w:pPr>
      <w:r>
        <w:t>5. Immediate Response Procedure — First 60 Minutes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1368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Time</w:t>
            </w:r>
          </w:p>
        </w:tc>
        <w:tc>
          <w:tcPr>
            <w:tcW w:type="dxa" w:w="6984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Incident Lead action</w:t>
            </w:r>
          </w:p>
        </w:tc>
        <w:tc>
          <w:tcPr>
            <w:tcW w:type="dxa" w:w="2880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Evidence / decision record</w:t>
            </w:r>
          </w:p>
        </w:tc>
      </w:tr>
      <w:tr>
        <w:tc>
          <w:tcPr>
            <w:tcW w:type="dxa" w:w="136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0–15 minutes</w:t>
            </w:r>
          </w:p>
        </w:tc>
        <w:tc>
          <w:tcPr>
            <w:tcW w:type="dxa" w:w="69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Receive trigger; declare incident; call 998 ambulance / 999 police for severe or life-threatening illness; stop relevant meal/water/ice source; identify food/tank/line/batch; arrange verified alternative potable water; issue HOLD status.</w:t>
            </w:r>
          </w:p>
        </w:tc>
        <w:tc>
          <w:tcPr>
            <w:tcW w:type="dxa" w:w="288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Incident number, trigger/time/location, persons involved, emergency call reference, held batch/tank/line labels and alternative-water record.</w:t>
            </w:r>
          </w:p>
        </w:tc>
      </w:tr>
      <w:tr>
        <w:tc>
          <w:tcPr>
            <w:tcW w:type="dxa" w:w="136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0–30 minutes</w:t>
            </w:r>
          </w:p>
        </w:tc>
        <w:tc>
          <w:tcPr>
            <w:tcW w:type="dxa" w:w="698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Preserve food, water/ice, packaging, labels, delivery tickets, temperature records, COA, tanker data, cleaning records and recipient list. Prevent disposal, alteration or re-use. Establish the exposed-population list without unnecessary personal data.</w:t>
            </w:r>
          </w:p>
        </w:tc>
        <w:tc>
          <w:tcPr>
            <w:tcW w:type="dxa" w:w="288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Evidence index, photos, log copies, chain-of-custody register, exposure line list, product/water/ice custody status.</w:t>
            </w:r>
          </w:p>
        </w:tc>
      </w:tr>
      <w:tr>
        <w:tc>
          <w:tcPr>
            <w:tcW w:type="dxa" w:w="136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0–60 minutes</w:t>
            </w:r>
          </w:p>
        </w:tc>
        <w:tc>
          <w:tcPr>
            <w:tcW w:type="dxa" w:w="69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Notify Camp Manager, client/contract representative, medic, supplier/responsible entity and competent authority as required. Start traceability (supplier → batch → process → dispatch → recipient). Record every instruction.</w:t>
            </w:r>
          </w:p>
        </w:tc>
        <w:tc>
          <w:tcPr>
            <w:tcW w:type="dxa" w:w="288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Notification log: time, contact, channel, case/reference, instruction, owner and target completion date.</w:t>
            </w:r>
          </w:p>
        </w:tc>
      </w:tr>
      <w:tr>
        <w:tc>
          <w:tcPr>
            <w:tcW w:type="dxa" w:w="136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After 60 minutes</w:t>
            </w:r>
          </w:p>
        </w:tc>
        <w:tc>
          <w:tcPr>
            <w:tcW w:type="dxa" w:w="6984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Support formal sampling; investigate facts; maintain periodic management/authority updates; prepare CAPA and retention file.</w:t>
            </w:r>
          </w:p>
        </w:tc>
        <w:tc>
          <w:tcPr>
            <w:tcW w:type="dxa" w:w="288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Sampling records, laboratory/authority instruction, investigation log, CAPA and status update register.</w:t>
            </w:r>
          </w:p>
        </w:tc>
      </w:tr>
    </w:tbl>
    <w:p>
      <w:pPr>
        <w:spacing w:after="0"/>
      </w:pPr>
    </w:p>
    <w:p>
      <w:pPr>
        <w:pStyle w:val="Heading1"/>
      </w:pPr>
      <w:r>
        <w:t>6. Specific Procedure A — Foodborne Illness / Outbreak Concern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115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Step</w:t>
            </w:r>
          </w:p>
        </w:tc>
        <w:tc>
          <w:tcPr>
            <w:tcW w:type="dxa" w:w="655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Required control</w:t>
            </w:r>
          </w:p>
        </w:tc>
        <w:tc>
          <w:tcPr>
            <w:tcW w:type="dxa" w:w="3528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Acceptance / completion criteria</w:t>
            </w:r>
          </w:p>
        </w:tc>
      </w:tr>
      <w:tr>
        <w:tc>
          <w:tcPr>
            <w:tcW w:type="dxa" w:w="115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A1. Stabilise people</w:t>
            </w:r>
          </w:p>
        </w:tc>
        <w:tc>
          <w:tcPr>
            <w:tcW w:type="dxa" w:w="655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Arrange appropriate medical assessment and welfare support. Call emergency services if severe/life-threatening. Do not provide a diagnosis or assert source/cause.</w:t>
            </w:r>
          </w:p>
        </w:tc>
        <w:tc>
          <w:tcPr>
            <w:tcW w:type="dxa" w:w="352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Affected persons safely handed to medical care; factual welfare log protected.</w:t>
            </w:r>
          </w:p>
        </w:tc>
      </w:tr>
      <w:tr>
        <w:tc>
          <w:tcPr>
            <w:tcW w:type="dxa" w:w="115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A2. Stop and secure</w:t>
            </w:r>
          </w:p>
        </w:tc>
        <w:tc>
          <w:tcPr>
            <w:tcW w:type="dxa" w:w="655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Stop preparation, issue and dispatch of implicated meal/batch/ingredient/water/ice. Segregate with HOLD status.</w:t>
            </w:r>
          </w:p>
        </w:tc>
        <w:tc>
          <w:tcPr>
            <w:tcW w:type="dxa" w:w="352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No continuing use; all affected stocks/recipients identified.</w:t>
            </w:r>
          </w:p>
        </w:tc>
      </w:tr>
      <w:tr>
        <w:tc>
          <w:tcPr>
            <w:tcW w:type="dxa" w:w="115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A3. Notify</w:t>
            </w:r>
          </w:p>
        </w:tc>
        <w:tc>
          <w:tcPr>
            <w:tcW w:type="dxa" w:w="655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Notify authority/management/client/supplier as required. In Dubai, use the public food-safety channel 800900 / foodpoisoning@dm.gov.ae. In Abu Dhabi, use 800555 and follow ADAFSA direction.</w:t>
            </w:r>
          </w:p>
        </w:tc>
        <w:tc>
          <w:tcPr>
            <w:tcW w:type="dxa" w:w="352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Notification log complete; authority instruction followed.</w:t>
            </w:r>
          </w:p>
        </w:tc>
      </w:tr>
      <w:tr>
        <w:tc>
          <w:tcPr>
            <w:tcW w:type="dxa" w:w="115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A4. Trace</w:t>
            </w:r>
          </w:p>
        </w:tc>
        <w:tc>
          <w:tcPr>
            <w:tcW w:type="dxa" w:w="655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Map exposure with medical/authority support: meal, water/ice, batch, time, location, shift and recipient. Track supplier to recipient and identify distribution/storage locations.</w:t>
            </w:r>
          </w:p>
        </w:tc>
        <w:tc>
          <w:tcPr>
            <w:tcW w:type="dxa" w:w="352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Traceability map demonstrates all potentially exposed recipients and stocks.</w:t>
            </w:r>
          </w:p>
        </w:tc>
      </w:tr>
      <w:tr>
        <w:tc>
          <w:tcPr>
            <w:tcW w:type="dxa" w:w="115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A5. Withdraw / recover</w:t>
            </w:r>
          </w:p>
        </w:tc>
        <w:tc>
          <w:tcPr>
            <w:tcW w:type="dxa" w:w="655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Execute withdrawal before end use; recover food already distributed as instructed; communicate factual hold instructions to recipient sites.</w:t>
            </w:r>
          </w:p>
        </w:tc>
        <w:tc>
          <w:tcPr>
            <w:tcW w:type="dxa" w:w="352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Withdrawal/recovery register, return/hold disposition and recipient communication evidence.</w:t>
            </w:r>
          </w:p>
        </w:tc>
      </w:tr>
      <w:tr>
        <w:tc>
          <w:tcPr>
            <w:tcW w:type="dxa" w:w="115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A6. Investigate</w:t>
            </w:r>
          </w:p>
        </w:tc>
        <w:tc>
          <w:tcPr>
            <w:tcW w:type="dxa" w:w="655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Review receiving, storage, time/temperature control, staff fitness, hygiene, cleaning, water/ice, dispatch and supplier controls.</w:t>
            </w:r>
          </w:p>
        </w:tc>
        <w:tc>
          <w:tcPr>
            <w:tcW w:type="dxa" w:w="352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Root cause evidence; CAPA addresses system cause, not only immediate symptom.</w:t>
            </w:r>
          </w:p>
        </w:tc>
      </w:tr>
      <w:tr>
        <w:tc>
          <w:tcPr>
            <w:tcW w:type="dxa" w:w="115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A7. Release</w:t>
            </w:r>
          </w:p>
        </w:tc>
        <w:tc>
          <w:tcPr>
            <w:tcW w:type="dxa" w:w="655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Do not restart on verbal assurance. Resume only after documented risk assessment, verified CAPA, food/area release evidence and competent authority/client direction where applicable.</w:t>
            </w:r>
          </w:p>
        </w:tc>
        <w:tc>
          <w:tcPr>
            <w:tcW w:type="dxa" w:w="352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Signed release decision and post-incident verification schedule.</w:t>
            </w:r>
          </w:p>
        </w:tc>
      </w:tr>
    </w:tbl>
    <w:p>
      <w:pPr>
        <w:spacing w:after="0"/>
      </w:pPr>
    </w:p>
    <w:p>
      <w:pPr>
        <w:pStyle w:val="Heading1"/>
      </w:pPr>
      <w:r>
        <w:t>7. Specific Procedure B — Water Contamination / Tanker Integrity Concern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115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Step</w:t>
            </w:r>
          </w:p>
        </w:tc>
        <w:tc>
          <w:tcPr>
            <w:tcW w:type="dxa" w:w="655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Required control</w:t>
            </w:r>
          </w:p>
        </w:tc>
        <w:tc>
          <w:tcPr>
            <w:tcW w:type="dxa" w:w="3528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Minimum evidence</w:t>
            </w:r>
          </w:p>
        </w:tc>
      </w:tr>
      <w:tr>
        <w:tc>
          <w:tcPr>
            <w:tcW w:type="dxa" w:w="115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B1. Isolate the source</w:t>
            </w:r>
          </w:p>
        </w:tc>
        <w:tc>
          <w:tcPr>
            <w:tcW w:type="dxa" w:w="655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Stop potable use at suspect tanker, receiving tank, line, food-prep point and ice machine; prevent cross-connection or use of stored suspect water.</w:t>
            </w:r>
          </w:p>
        </w:tc>
        <w:tc>
          <w:tcPr>
            <w:tcW w:type="dxa" w:w="352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Source/tank/line/ice machine IDs; HOLD labels; alternate potable source record.</w:t>
            </w:r>
          </w:p>
        </w:tc>
      </w:tr>
      <w:tr>
        <w:tc>
          <w:tcPr>
            <w:tcW w:type="dxa" w:w="115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B2. Assess food and ice impact</w:t>
            </w:r>
          </w:p>
        </w:tc>
        <w:tc>
          <w:tcPr>
            <w:tcW w:type="dxa" w:w="655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Identify all food, ice, beverages, handwashing/utensil cleaning and produce-washing operations that used suspect water. Hold affected outputs.</w:t>
            </w:r>
          </w:p>
        </w:tc>
        <w:tc>
          <w:tcPr>
            <w:tcW w:type="dxa" w:w="352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Exposure assessment; affected food/ice list; disposition record.</w:t>
            </w:r>
          </w:p>
        </w:tc>
      </w:tr>
      <w:tr>
        <w:tc>
          <w:tcPr>
            <w:tcW w:type="dxa" w:w="115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B3. Secure tanker delivery evidence</w:t>
            </w:r>
          </w:p>
        </w:tc>
        <w:tc>
          <w:tcPr>
            <w:tcW w:type="dxa" w:w="655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Record supplier, tanker registration, permit/certificate validity, driver, drinking-water-only signage, source/filling point, volume, COA/sampling reference, hose/hatch condition and receiving tank.</w:t>
            </w:r>
          </w:p>
        </w:tc>
        <w:tc>
          <w:tcPr>
            <w:tcW w:type="dxa" w:w="352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Delivery ticket, photographs, certificate/COA, acceptance/rejection note, transfer record.</w:t>
            </w:r>
          </w:p>
        </w:tc>
      </w:tr>
      <w:tr>
        <w:tc>
          <w:tcPr>
            <w:tcW w:type="dxa" w:w="115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B4. Notify supplier and authority</w:t>
            </w:r>
          </w:p>
        </w:tc>
        <w:tc>
          <w:tcPr>
            <w:tcW w:type="dxa" w:w="655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Notify the water supplier/responsible entity immediately. For Abu Dhabi tankering, entity-specific DoE incident duties may apply; the camp must not assume it can discharge those duties. Follow competent-authority instruction.</w:t>
            </w:r>
          </w:p>
        </w:tc>
        <w:tc>
          <w:tcPr>
            <w:tcW w:type="dxa" w:w="352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Supplier notification, case reference, authority/sampling instruction.</w:t>
            </w:r>
          </w:p>
        </w:tc>
      </w:tr>
      <w:tr>
        <w:tc>
          <w:tcPr>
            <w:tcW w:type="dxa" w:w="115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B5. Sample and correct</w:t>
            </w:r>
          </w:p>
        </w:tc>
        <w:tc>
          <w:tcPr>
            <w:tcW w:type="dxa" w:w="655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Use only approved laboratory/authority sampling process. Clean/disinfect, repair or flush only under approved procedure/direction.</w:t>
            </w:r>
          </w:p>
        </w:tc>
        <w:tc>
          <w:tcPr>
            <w:tcW w:type="dxa" w:w="352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Sample ID, chain of custody, lab report, maintenance/disinfection record, verification result.</w:t>
            </w:r>
          </w:p>
        </w:tc>
      </w:tr>
      <w:tr>
        <w:tc>
          <w:tcPr>
            <w:tcW w:type="dxa" w:w="115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B6. Release safely</w:t>
            </w:r>
          </w:p>
        </w:tc>
        <w:tc>
          <w:tcPr>
            <w:tcW w:type="dxa" w:w="655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Restore potable use after risk assessment, verified corrective action, source evidence, food/ice disposition and formal release direction as applicable.</w:t>
            </w:r>
          </w:p>
        </w:tc>
        <w:tc>
          <w:tcPr>
            <w:tcW w:type="dxa" w:w="352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Release record, post-event monitoring plan, management approval.</w:t>
            </w:r>
          </w:p>
        </w:tc>
      </w:tr>
    </w:tbl>
    <w:p>
      <w:pPr>
        <w:spacing w:after="0"/>
      </w:pPr>
    </w:p>
    <w:p>
      <w:pPr>
        <w:pStyle w:val="Heading1"/>
      </w:pPr>
      <w:r>
        <w:t>8. Notification Matrix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2088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Recipient</w:t>
            </w:r>
          </w:p>
        </w:tc>
        <w:tc>
          <w:tcPr>
            <w:tcW w:type="dxa" w:w="3168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When to notify</w:t>
            </w:r>
          </w:p>
        </w:tc>
        <w:tc>
          <w:tcPr>
            <w:tcW w:type="dxa" w:w="5976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2"/>
              </w:rPr>
              <w:t>Communication content / record</w:t>
            </w:r>
          </w:p>
        </w:tc>
      </w:tr>
      <w:tr>
        <w:tc>
          <w:tcPr>
            <w:tcW w:type="dxa" w:w="208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Emergency services 998 / 999</w:t>
            </w:r>
          </w:p>
        </w:tc>
        <w:tc>
          <w:tcPr>
            <w:tcW w:type="dxa" w:w="316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Severe or life-threatening condition; follow dispatcher direction.</w:t>
            </w:r>
          </w:p>
        </w:tc>
        <w:tc>
          <w:tcPr>
            <w:tcW w:type="dxa" w:w="597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Exact camp location, number of patients, main reported condition, onsite contact and access directions.</w:t>
            </w:r>
          </w:p>
        </w:tc>
      </w:tr>
      <w:tr>
        <w:tc>
          <w:tcPr>
            <w:tcW w:type="dxa" w:w="208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Camp management / client</w:t>
            </w:r>
          </w:p>
        </w:tc>
        <w:tc>
          <w:tcPr>
            <w:tcW w:type="dxa" w:w="316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Immediately after initial containment.</w:t>
            </w:r>
          </w:p>
        </w:tc>
        <w:tc>
          <w:tcPr>
            <w:tcW w:type="dxa" w:w="597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Trigger, affected scope, actions taken, welfare status, operational impact, authority contact and support required.</w:t>
            </w:r>
          </w:p>
        </w:tc>
      </w:tr>
      <w:tr>
        <w:tc>
          <w:tcPr>
            <w:tcW w:type="dxa" w:w="208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Competent authority / Ministry</w:t>
            </w:r>
          </w:p>
        </w:tc>
        <w:tc>
          <w:tcPr>
            <w:tcW w:type="dxa" w:w="316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Any food under supervision posing consumer-health risk; follow legal and case-specific direction.</w:t>
            </w:r>
          </w:p>
        </w:tc>
        <w:tc>
          <w:tcPr>
            <w:tcW w:type="dxa" w:w="597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Food/water risk description, batch/source, locations, distribution/recipients, actions, contact details and request for direction.</w:t>
            </w:r>
          </w:p>
        </w:tc>
      </w:tr>
      <w:tr>
        <w:tc>
          <w:tcPr>
            <w:tcW w:type="dxa" w:w="208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Dubai Municipality</w:t>
            </w:r>
          </w:p>
        </w:tc>
        <w:tc>
          <w:tcPr>
            <w:tcW w:type="dxa" w:w="316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For Dubai food-safety incident reporting: 800900 / foodpoisoning@dm.gov.ae.</w:t>
            </w:r>
          </w:p>
        </w:tc>
        <w:tc>
          <w:tcPr>
            <w:tcW w:type="dxa" w:w="597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Use authority’s case process; retain reference and instructions.</w:t>
            </w:r>
          </w:p>
        </w:tc>
      </w:tr>
      <w:tr>
        <w:tc>
          <w:tcPr>
            <w:tcW w:type="dxa" w:w="208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ADAFSA / Abu Dhabi Government</w:t>
            </w:r>
          </w:p>
        </w:tc>
        <w:tc>
          <w:tcPr>
            <w:tcW w:type="dxa" w:w="316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For Abu Dhabi establishment/food concern: 800555.</w:t>
            </w:r>
          </w:p>
        </w:tc>
        <w:tc>
          <w:tcPr>
            <w:tcW w:type="dxa" w:w="597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Use authority’s case process; retain reference and instructions.</w:t>
            </w:r>
          </w:p>
        </w:tc>
      </w:tr>
      <w:tr>
        <w:tc>
          <w:tcPr>
            <w:tcW w:type="dxa" w:w="208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Water/food supplier</w:t>
            </w:r>
          </w:p>
        </w:tc>
        <w:tc>
          <w:tcPr>
            <w:tcW w:type="dxa" w:w="316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Immediately for source, tanker, food or ingredient concern.</w:t>
            </w:r>
          </w:p>
        </w:tc>
        <w:tc>
          <w:tcPr>
            <w:tcW w:type="dxa" w:w="5976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Product/water source, delivery/batch reference, hold status, requested data, corrective action and response deadline.</w:t>
            </w:r>
          </w:p>
        </w:tc>
      </w:tr>
      <w:tr>
        <w:tc>
          <w:tcPr>
            <w:tcW w:type="dxa" w:w="208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Recipients / consumers</w:t>
            </w:r>
          </w:p>
        </w:tc>
        <w:tc>
          <w:tcPr>
            <w:tcW w:type="dxa" w:w="316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When withdrawal/recovery communication is required or directed.</w:t>
            </w:r>
          </w:p>
        </w:tc>
        <w:tc>
          <w:tcPr>
            <w:tcW w:type="dxa" w:w="597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2"/>
              </w:rPr>
              <w:t>Approved factual hold/return instruction, batch/source, action required and contact point. Avoid unverified causation claims.</w:t>
            </w:r>
          </w:p>
        </w:tc>
      </w:tr>
    </w:tbl>
    <w:p>
      <w:pPr>
        <w:spacing w:after="0"/>
      </w:pPr>
    </w:p>
    <w:p>
      <w:pPr>
        <w:pStyle w:val="Heading1"/>
      </w:pPr>
      <w:r>
        <w:t>9. Evidence, Sampling, CAPA and Communication Controls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223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Control</w:t>
            </w:r>
          </w:p>
        </w:tc>
        <w:tc>
          <w:tcPr>
            <w:tcW w:type="dxa" w:w="9000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Requirement</w:t>
            </w:r>
          </w:p>
        </w:tc>
      </w:tr>
      <w:tr>
        <w:tc>
          <w:tcPr>
            <w:tcW w:type="dxa" w:w="223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Preservation</w:t>
            </w:r>
          </w:p>
        </w:tc>
        <w:tc>
          <w:tcPr>
            <w:tcW w:type="dxa" w:w="900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Do not destroy, change or re-use held food/water/ice. If food is under competent-authority custody, do not dispose of or alter it without written authority permission.</w:t>
            </w:r>
          </w:p>
        </w:tc>
      </w:tr>
      <w:tr>
        <w:tc>
          <w:tcPr>
            <w:tcW w:type="dxa" w:w="223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Sampling</w:t>
            </w:r>
          </w:p>
        </w:tc>
        <w:tc>
          <w:tcPr>
            <w:tcW w:type="dxa" w:w="900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Use authority/laboratory direction. Record sample point, date/time, collector, item/source/tank, temperature/condition, chain of custody and laboratory result. Do not replace formal sampling with informal samples.</w:t>
            </w:r>
          </w:p>
        </w:tc>
      </w:tr>
      <w:tr>
        <w:tc>
          <w:tcPr>
            <w:tcW w:type="dxa" w:w="223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CAPA</w:t>
            </w:r>
          </w:p>
        </w:tc>
        <w:tc>
          <w:tcPr>
            <w:tcW w:type="dxa" w:w="900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Use a root-cause method. Define immediate containment, corrective action, preventive action, owner, due date, evidence required and effectiveness review.</w:t>
            </w:r>
          </w:p>
        </w:tc>
      </w:tr>
      <w:tr>
        <w:tc>
          <w:tcPr>
            <w:tcW w:type="dxa" w:w="223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Communications</w:t>
            </w:r>
          </w:p>
        </w:tc>
        <w:tc>
          <w:tcPr>
            <w:tcW w:type="dxa" w:w="900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One authorised spokesperson. Communicate facts only. Do not attribute illness to a food/water source until supported by competent authority/medical evidence.</w:t>
            </w:r>
          </w:p>
        </w:tc>
      </w:tr>
      <w:tr>
        <w:tc>
          <w:tcPr>
            <w:tcW w:type="dxa" w:w="223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Records retention</w:t>
            </w:r>
          </w:p>
        </w:tc>
        <w:tc>
          <w:tcPr>
            <w:tcW w:type="dxa" w:w="900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Retain all records according to legal, contractual and document-control requirements; do not set an unsupported universal retention duration in this SOP.</w:t>
            </w:r>
          </w:p>
        </w:tc>
      </w:tr>
    </w:tbl>
    <w:p>
      <w:pPr>
        <w:spacing w:after="0"/>
      </w:pPr>
    </w:p>
    <w:p>
      <w:pPr>
        <w:pStyle w:val="Heading1"/>
      </w:pPr>
      <w:r>
        <w:t>10. Return-to-Service Checklist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rPr>
          <w:tblHeader w:val="true"/>
        </w:trPr>
        <w:tc>
          <w:tcPr>
            <w:tcW w:type="dxa" w:w="1728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Gate</w:t>
            </w:r>
          </w:p>
        </w:tc>
        <w:tc>
          <w:tcPr>
            <w:tcW w:type="dxa" w:w="511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Question</w:t>
            </w:r>
          </w:p>
        </w:tc>
        <w:tc>
          <w:tcPr>
            <w:tcW w:type="dxa" w:w="439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Evidence required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People protected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Have affected people received appropriate medical/welfare escalation and have recipient sites been protected?</w:t>
            </w:r>
          </w:p>
        </w:tc>
        <w:tc>
          <w:tcPr>
            <w:tcW w:type="dxa" w:w="43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Welfare/emergency record; recipient/withdrawal status.</w:t>
            </w:r>
          </w:p>
        </w:tc>
      </w:tr>
      <w:tr>
        <w:tc>
          <w:tcPr>
            <w:tcW w:type="dxa" w:w="172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Source controlled</w:t>
            </w:r>
          </w:p>
        </w:tc>
        <w:tc>
          <w:tcPr>
            <w:tcW w:type="dxa" w:w="511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Is the food/water/ice source isolated or corrected, and are all impacted stocks identified?</w:t>
            </w:r>
          </w:p>
        </w:tc>
        <w:tc>
          <w:tcPr>
            <w:tcW w:type="dxa" w:w="439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Hold/traceability records; source assessment.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Authority direction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Have all authority, medical, client and supplier directions been documented and completed?</w:t>
            </w:r>
          </w:p>
        </w:tc>
        <w:tc>
          <w:tcPr>
            <w:tcW w:type="dxa" w:w="43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Notification log; case instruction close-out.</w:t>
            </w:r>
          </w:p>
        </w:tc>
      </w:tr>
      <w:tr>
        <w:tc>
          <w:tcPr>
            <w:tcW w:type="dxa" w:w="172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Cause corrected</w:t>
            </w:r>
          </w:p>
        </w:tc>
        <w:tc>
          <w:tcPr>
            <w:tcW w:type="dxa" w:w="511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Has the root cause been addressed with objective evidence?</w:t>
            </w:r>
          </w:p>
        </w:tc>
        <w:tc>
          <w:tcPr>
            <w:tcW w:type="dxa" w:w="439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CAPA, maintenance/disinfection, supplier response, training/inspection evidence.</w:t>
            </w:r>
          </w:p>
        </w:tc>
      </w:tr>
      <w:tr>
        <w:tc>
          <w:tcPr>
            <w:tcW w:type="dxa" w:w="172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Verification passed</w:t>
            </w:r>
          </w:p>
        </w:tc>
        <w:tc>
          <w:tcPr>
            <w:tcW w:type="dxa" w:w="511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Do current HACCP, water/COA, hygiene and process records show safe capability to resume?</w:t>
            </w:r>
          </w:p>
        </w:tc>
        <w:tc>
          <w:tcPr>
            <w:tcW w:type="dxa" w:w="43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Verification / sampling result, audit and signed release decision.</w:t>
            </w:r>
          </w:p>
        </w:tc>
      </w:tr>
    </w:tbl>
    <w:p>
      <w:pPr>
        <w:spacing w:after="0"/>
      </w:pPr>
    </w:p>
    <w:p>
      <w:pPr>
        <w:pStyle w:val="Heading1"/>
      </w:pPr>
      <w:r>
        <w:t>11. Training, Drill and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1800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Requirement</w:t>
            </w:r>
          </w:p>
        </w:tc>
        <w:tc>
          <w:tcPr>
            <w:tcW w:type="dxa" w:w="943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Implementation</w:t>
            </w:r>
          </w:p>
        </w:tc>
      </w:tr>
      <w:tr>
        <w:tc>
          <w:tcPr>
            <w:tcW w:type="dxa" w:w="180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Induction</w:t>
            </w:r>
          </w:p>
        </w:tc>
        <w:tc>
          <w:tcPr>
            <w:tcW w:type="dxa" w:w="943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All kitchen, stores, tanker receiving, camp management and cleaning personnel receive induction on stop-service, HOLD tags, emergency contacts, escalation and evidence preservation.</w:t>
            </w:r>
          </w:p>
        </w:tc>
      </w:tr>
      <w:tr>
        <w:tc>
          <w:tcPr>
            <w:tcW w:type="dxa" w:w="180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Competence</w:t>
            </w:r>
          </w:p>
        </w:tc>
        <w:tc>
          <w:tcPr>
            <w:tcW w:type="dxa" w:w="943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Food Safety In-Charge and alternates demonstrate traceability, notification log, supplier/tanker checks, water/ice isolation and CAPA use.</w:t>
            </w:r>
          </w:p>
        </w:tc>
      </w:tr>
      <w:tr>
        <w:tc>
          <w:tcPr>
            <w:tcW w:type="dxa" w:w="1800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Drill</w:t>
            </w:r>
          </w:p>
        </w:tc>
        <w:tc>
          <w:tcPr>
            <w:tcW w:type="dxa" w:w="943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Conduct at least one scenario drill per year and after significant change. Simulate one foodborne illness and one water contamination/tanker integrity event where appropriate.</w:t>
            </w:r>
          </w:p>
        </w:tc>
      </w:tr>
      <w:tr>
        <w:tc>
          <w:tcPr>
            <w:tcW w:type="dxa" w:w="1800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Review</w:t>
            </w:r>
          </w:p>
        </w:tc>
        <w:tc>
          <w:tcPr>
            <w:tcW w:type="dxa" w:w="943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4"/>
              </w:rPr>
              <w:t>Review SOP after any incident, drill, authority finding, food/water supply change or monthly audit trend. Update controlled copy and train affected personnel.</w:t>
            </w:r>
          </w:p>
        </w:tc>
      </w:tr>
    </w:tbl>
    <w:p>
      <w:pPr>
        <w:spacing w:after="0"/>
      </w:pPr>
    </w:p>
    <w:p>
      <w:pPr>
        <w:pStyle w:val="Heading1"/>
      </w:pPr>
      <w:r>
        <w:t>References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rPr>
          <w:tblHeader w:val="true"/>
        </w:trPr>
        <w:tc>
          <w:tcPr>
            <w:tcW w:type="dxa" w:w="648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Ref.</w:t>
            </w:r>
          </w:p>
        </w:tc>
        <w:tc>
          <w:tcPr>
            <w:tcW w:type="dxa" w:w="9792"/>
            <w:shd w:fill="17365D"/>
            <w:vAlign w:val="center"/>
          </w:tcPr>
          <w:p>
            <w:pPr>
              <w:jc w:val="center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Official source</w:t>
            </w:r>
          </w:p>
        </w:tc>
      </w:tr>
      <w:tr>
        <w:tc>
          <w:tcPr>
            <w:tcW w:type="dxa" w:w="64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[1]</w:t>
            </w:r>
          </w:p>
        </w:tc>
        <w:tc>
          <w:tcPr>
            <w:tcW w:type="dxa" w:w="97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Federal Law No. 10 of 2015 Concerning Food Safety: https://uaelegislation.gov.ae/en/legislations/1161/download</w:t>
            </w:r>
          </w:p>
        </w:tc>
      </w:tr>
      <w:tr>
        <w:tc>
          <w:tcPr>
            <w:tcW w:type="dxa" w:w="64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[2]</w:t>
            </w:r>
          </w:p>
        </w:tc>
        <w:tc>
          <w:tcPr>
            <w:tcW w:type="dxa" w:w="979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Dubai Municipality Food Safety Department: https://www.dm.gov.ae/municipality-business/food-safety-department-2/food-safety-department/</w:t>
            </w:r>
          </w:p>
        </w:tc>
      </w:tr>
      <w:tr>
        <w:tc>
          <w:tcPr>
            <w:tcW w:type="dxa" w:w="64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[3]</w:t>
            </w:r>
          </w:p>
        </w:tc>
        <w:tc>
          <w:tcPr>
            <w:tcW w:type="dxa" w:w="97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UAE Government, Handling Emergencies: https://u.ae/en/information-and-services/justice-safety-and-the-law/handling-emergencies</w:t>
            </w:r>
          </w:p>
        </w:tc>
      </w:tr>
      <w:tr>
        <w:tc>
          <w:tcPr>
            <w:tcW w:type="dxa" w:w="648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[4]</w:t>
            </w:r>
          </w:p>
        </w:tc>
        <w:tc>
          <w:tcPr>
            <w:tcW w:type="dxa" w:w="9792"/>
            <w:shd w:fill="FAFAFA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ADAFSA public food-safety reporting information: https://www.adafsa.gov.ae/en/mediahub/news/Pages/World-Food-Safety-Day.aspx</w:t>
            </w:r>
          </w:p>
        </w:tc>
      </w:tr>
      <w:tr>
        <w:tc>
          <w:tcPr>
            <w:tcW w:type="dxa" w:w="648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[5]</w:t>
            </w:r>
          </w:p>
        </w:tc>
        <w:tc>
          <w:tcPr>
            <w:tcW w:type="dxa" w:w="9792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3"/>
              </w:rPr>
              <w:t>Abu Dhabi DoE Tankering Regulation: https://www.doe.gov.ae/en/Media-Centre/News/Abu-Dhabi-Department-of-Energy-Issues-Tankering-Regulations-for-Water-Tanker-and-Wastewater-Services</w:t>
            </w:r>
          </w:p>
        </w:tc>
      </w:tr>
    </w:tbl>
    <w:p>
      <w:pPr>
        <w:spacing w:after="0"/>
      </w:pPr>
    </w:p>
    <w:p>
      <w:r>
        <w:t>This SOP must be adapted to the camp’s actual licensed activity, HACCP plan, water source, authority approval conditions, client requirements and emergency medical arrangements before issue.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20" w:right="792" w:bottom="749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404040"/>
        <w:sz w:val="14"/>
      </w:rPr>
      <w:t xml:space="preserve">Remote Camp Food Safety Incident SOP | Controlled copy | Page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328"/>
      <w:gridCol w:w="5328"/>
    </w:tblGrid>
    <w:tr>
      <w:tc>
        <w:tcPr>
          <w:tcW w:type="dxa" w:w="7704"/>
          <w:shd w:fill="17365D"/>
          <w:vAlign w:val="center"/>
        </w:tcPr>
        <w:p>
          <w:r/>
          <w:r>
            <w:rPr>
              <w:rFonts w:ascii="Arial" w:hAnsi="Arial"/>
              <w:b/>
              <w:color w:val="FFFFFF"/>
              <w:sz w:val="16"/>
            </w:rPr>
            <w:t>REMOTE CAMP KITCHEN — INCIDENT MANAGEMENT SOP</w:t>
          </w:r>
        </w:p>
      </w:tc>
      <w:tc>
        <w:tcPr>
          <w:tcW w:type="dxa" w:w="2952"/>
          <w:shd w:fill="007B84"/>
          <w:vAlign w:val="center"/>
        </w:tcPr>
        <w:p>
          <w:pPr>
            <w:jc w:val="right"/>
          </w:pPr>
          <w:r/>
          <w:r>
            <w:rPr>
              <w:rFonts w:ascii="Arial" w:hAnsi="Arial"/>
              <w:b/>
              <w:color w:val="FFFFFF"/>
              <w:sz w:val="15"/>
            </w:rPr>
            <w:t>UAE WORKING DOCUMENT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17365D"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07B84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 w:before="160"/>
      <w:contextualSpacing/>
    </w:pPr>
    <w:rPr>
      <w:rFonts w:asciiTheme="majorHAnsi" w:eastAsiaTheme="majorEastAsia" w:hAnsiTheme="majorHAnsi" w:cstheme="majorBidi" w:ascii="Arial" w:hAnsi="Arial"/>
      <w:b/>
      <w:color w:val="17365D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