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Style w:val="MdHeading1"/>
      </w:pPr>
      <w:r>
        <w:t xml:space="preserve">Site Mobilisation &amp; Demobilisation: UAE Authority, Client-Readiness and Handover Expansion</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Document Information</w:t>
            </w:r>
          </w:p>
        </w:tc>
        <w:tc>
          <w:tcPr>
            <w:tcBorders>
              <w:right w:val="none"/>
            </w:tcBorders>
            <w:tcMar>
              <w:top w:type="dxa" w:w="100"/>
              <w:left w:type="dxa" w:w="120"/>
              <w:bottom w:type="dxa" w:w="100"/>
              <w:right w:type="dxa" w:w="120"/>
            </w:tcMar>
            <w:vAlign w:val="center"/>
          </w:tcPr>
          <w:p>
            <w:pPr>
              <w:pStyle w:val="MdTableHeader"/>
            </w:pPr>
            <w:r>
              <w:t xml:space="preserve">Detail</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Prepared for</w:t>
            </w:r>
          </w:p>
        </w:tc>
        <w:tc>
          <w:tcPr>
            <w:tcBorders>
              <w:right w:val="none"/>
            </w:tcBorders>
            <w:tcMar>
              <w:top w:type="dxa" w:w="80"/>
              <w:left w:type="dxa" w:w="120"/>
              <w:bottom w:type="dxa" w:w="80"/>
              <w:right w:type="dxa" w:w="120"/>
            </w:tcMar>
            <w:vAlign w:val="center"/>
          </w:tcPr>
          <w:p>
            <w:pPr>
              <w:pStyle w:val="MdTableCell"/>
            </w:pPr>
            <w:r>
              <w:t xml:space="preserve">Site Safety UAE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Scope</w:t>
            </w:r>
          </w:p>
        </w:tc>
        <w:tc>
          <w:tcPr>
            <w:tcBorders>
              <w:right w:val="none"/>
            </w:tcBorders>
            <w:tcMar>
              <w:top w:type="dxa" w:w="80"/>
              <w:left w:type="dxa" w:w="120"/>
              <w:bottom w:type="dxa" w:w="80"/>
              <w:right w:type="dxa" w:w="120"/>
            </w:tcMar>
            <w:vAlign w:val="center"/>
          </w:tcPr>
          <w:p>
            <w:pPr>
              <w:pStyle w:val="MdTableCell"/>
            </w:pPr>
            <w:r>
              <w:t xml:space="preserve">Recommended expansion for the protected </w:t>
            </w:r>
            <w:r>
              <w:rPr>
                <w:rStyle w:val="MdStrong"/>
                <w:b/>
                <w:bCs/>
              </w:rPr>
              <w:t xml:space="preserve">Site Mobilization</w:t>
            </w:r>
            <w:r>
              <w:t xml:space="preserve"> page, plus a paired demobilisation, project-closeout and client-handover workflow</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Review status</w:t>
            </w:r>
          </w:p>
        </w:tc>
        <w:tc>
          <w:tcPr>
            <w:tcBorders>
              <w:right w:val="none"/>
            </w:tcBorders>
            <w:tcMar>
              <w:top w:type="dxa" w:w="80"/>
              <w:left w:type="dxa" w:w="120"/>
              <w:bottom w:type="dxa" w:w="80"/>
              <w:right w:type="dxa" w:w="120"/>
            </w:tcMar>
            <w:vAlign w:val="center"/>
          </w:tcPr>
          <w:p>
            <w:pPr>
              <w:pStyle w:val="MdTableCell"/>
            </w:pPr>
            <w:r>
              <w:t xml:space="preserve">The live page is currently sign-in protected. This review therefore assesses the required product content and verified authority pathways; a page-by-page usability audit can be completed after access is provided.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Intended users</w:t>
            </w:r>
          </w:p>
        </w:tc>
        <w:tc>
          <w:tcPr>
            <w:tcBorders>
              <w:right w:val="none"/>
            </w:tcBorders>
            <w:tcMar>
              <w:top w:type="dxa" w:w="80"/>
              <w:left w:type="dxa" w:w="120"/>
              <w:bottom w:type="dxa" w:w="80"/>
              <w:right w:type="dxa" w:w="120"/>
            </w:tcMar>
            <w:vAlign w:val="center"/>
          </w:tcPr>
          <w:p>
            <w:pPr>
              <w:pStyle w:val="MdTableCell"/>
            </w:pPr>
            <w:r>
              <w:t xml:space="preserve">Project managers, construction managers, HSE managers, QA/QC managers, document controllers, commercial teams, consultants and client representatives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Key design principle</w:t>
            </w:r>
          </w:p>
        </w:tc>
        <w:tc>
          <w:tcPr>
            <w:tcBorders>
              <w:right w:val="none"/>
            </w:tcBorders>
            <w:tcMar>
              <w:top w:type="dxa" w:w="80"/>
              <w:left w:type="dxa" w:w="120"/>
              <w:bottom w:type="dxa" w:w="80"/>
              <w:right w:type="dxa" w:w="120"/>
            </w:tcMar>
            <w:vAlign w:val="center"/>
          </w:tcPr>
          <w:p>
            <w:pPr>
              <w:pStyle w:val="MdTableCell"/>
            </w:pPr>
            <w:r>
              <w:rPr>
                <w:rStyle w:val="MdStrong"/>
                <w:b/>
                <w:bCs/>
              </w:rPr>
              <w:t xml:space="preserve">Jurisdiction first, checklist second.</w:t>
            </w:r>
            <w:r>
              <w:t xml:space="preserve"> A UAE project must not be treated as one uniform approval path. The page should resolve the project’s emirate, mainland/free-zone/master-developer status and work type before showing requirements.</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Important notice</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This should be presented as a planning and evidence-management tool, not legal or authority advice. Requirements, portals, service fees, approved-document lists and inspection availability must be verified with the appointed consultant and the responsible authority before formal submission.</w:t>
            </w:r>
          </w:p>
        </w:tc>
      </w:tr>
    </w:tbl>
    <w:p>
      <w:pPr>
        <w:pStyle w:val="Heading2"/>
        <w:pStyle w:val="MdHeading2"/>
      </w:pPr>
      <w:r>
        <w:t xml:space="preserve">Executive recommendation</w:t>
      </w:r>
    </w:p>
    <w:p>
      <w:pPr>
        <w:pStyle w:val="MdParagraph"/>
      </w:pPr>
      <w:r>
        <w:t xml:space="preserve">The current Site Mobilization area should become a </w:t>
      </w:r>
      <w:r>
        <w:rPr>
          <w:rStyle w:val="MdStrong"/>
          <w:b/>
          <w:bCs/>
        </w:rPr>
        <w:t xml:space="preserve">Project Readiness and Handover Control Centre</w:t>
      </w:r>
      <w:r>
        <w:t xml:space="preserve">, not only a start-of-site checklist. Its most useful outcome is to answer four questions for a project team at any point in the job: </w:t>
      </w:r>
      <w:r>
        <w:rPr>
          <w:rStyle w:val="MdStrong"/>
          <w:b/>
          <w:bCs/>
        </w:rPr>
        <w:t xml:space="preserve">Which authority controls this plot? What must be approved before this work starts? What evidence must be retained while work proceeds? What has to be closed, cleared and handed over before the client accepts the asset?</w:t>
      </w:r>
    </w:p>
    <w:p>
      <w:pPr>
        <w:pStyle w:val="MdSpace"/>
        <w:spacing w:before="0" w:after="60"/>
      </w:pPr>
    </w:p>
    <w:p>
      <w:pPr>
        <w:pStyle w:val="MdParagraph"/>
      </w:pPr>
      <w:r>
        <w:t xml:space="preserve">The most valuable addition is an </w:t>
      </w:r>
      <w:r>
        <w:rPr>
          <w:rStyle w:val="MdStrong"/>
          <w:b/>
          <w:bCs/>
        </w:rPr>
        <w:t xml:space="preserve">Authority &amp; Jurisdiction Resolver</w:t>
      </w:r>
      <w:r>
        <w:t xml:space="preserve"> at the beginning of the workflow. It should ask for the emirate, exact development/plot, mainland versus free zone/master developer, client/developer, project type, height/occupancy category, scope of enabling works, road/utilities impacts, temporary works and required completion date. The output must label every item as </w:t>
      </w:r>
      <w:r>
        <w:rPr>
          <w:rStyle w:val="MdStrong"/>
          <w:b/>
          <w:bCs/>
        </w:rPr>
        <w:t xml:space="preserve">required</w:t>
      </w:r>
      <w:r>
        <w:t xml:space="preserve">, </w:t>
      </w:r>
      <w:r>
        <w:rPr>
          <w:rStyle w:val="MdStrong"/>
          <w:b/>
          <w:bCs/>
        </w:rPr>
        <w:t xml:space="preserve">conditional</w:t>
      </w:r>
      <w:r>
        <w:t xml:space="preserve">, </w:t>
      </w:r>
      <w:r>
        <w:rPr>
          <w:rStyle w:val="MdStrong"/>
          <w:b/>
          <w:bCs/>
        </w:rPr>
        <w:t xml:space="preserve">client-controlled</w:t>
      </w:r>
      <w:r>
        <w:t xml:space="preserve">, </w:t>
      </w:r>
      <w:r>
        <w:rPr>
          <w:rStyle w:val="MdStrong"/>
          <w:b/>
          <w:bCs/>
        </w:rPr>
        <w:t xml:space="preserve">consultant-controlled</w:t>
      </w:r>
      <w:r>
        <w:t xml:space="preserve">, </w:t>
      </w:r>
      <w:r>
        <w:rPr>
          <w:rStyle w:val="MdStrong"/>
          <w:b/>
          <w:bCs/>
        </w:rPr>
        <w:t xml:space="preserve">contractor-controlled</w:t>
      </w:r>
      <w:r>
        <w:t xml:space="preserve"> or </w:t>
      </w:r>
      <w:r>
        <w:rPr>
          <w:rStyle w:val="MdStrong"/>
          <w:b/>
          <w:bCs/>
        </w:rPr>
        <w:t xml:space="preserve">not applicable</w:t>
      </w:r>
      <w:r>
        <w:t xml:space="preserve">. Users can then tick an item complete, record a reason for removal, attach evidence, assign an owner and retain an approval number and expiry date.</w:t>
      </w:r>
    </w:p>
    <w:p>
      <w:pPr>
        <w:pStyle w:val="MdSpace"/>
        <w:spacing w:before="0" w:after="60"/>
      </w:pPr>
    </w:p>
    <w:p>
      <w:pPr>
        <w:pStyle w:val="MdBlockquote"/>
      </w:pPr>
      <w:r>
        <w:rPr>
          <w:rStyle w:val="MdStrong"/>
          <w:b/>
          <w:bCs/>
        </w:rPr>
        <w:t xml:space="preserve">Product message for the page:</w:t>
      </w:r>
      <w:r>
        <w:t xml:space="preserve"> “This planner helps you prepare for likely authority, developer and client requirements. It does not replace the appointed consultant, permit conditions or formal authority confirmation.”</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What the product should provide</w:t>
            </w:r>
          </w:p>
        </w:tc>
        <w:tc>
          <w:tcPr>
            <w:tcBorders>
              <w:right w:val="none"/>
            </w:tcBorders>
            <w:tcMar>
              <w:top w:type="dxa" w:w="100"/>
              <w:left w:type="dxa" w:w="120"/>
              <w:bottom w:type="dxa" w:w="100"/>
              <w:right w:type="dxa" w:w="120"/>
            </w:tcMar>
            <w:vAlign w:val="center"/>
          </w:tcPr>
          <w:p>
            <w:pPr>
              <w:pStyle w:val="MdTableHeader"/>
            </w:pPr>
            <w:r>
              <w:t xml:space="preserve">Why it matters to management and the client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A single jurisdiction decision at project setup</w:t>
            </w:r>
          </w:p>
        </w:tc>
        <w:tc>
          <w:tcPr>
            <w:tcBorders>
              <w:right w:val="none"/>
            </w:tcBorders>
            <w:tcMar>
              <w:top w:type="dxa" w:w="80"/>
              <w:left w:type="dxa" w:w="120"/>
              <w:bottom w:type="dxa" w:w="80"/>
              <w:right w:type="dxa" w:w="120"/>
            </w:tcMar>
            <w:vAlign w:val="center"/>
          </w:tcPr>
          <w:p>
            <w:pPr>
              <w:pStyle w:val="MdTableCell"/>
            </w:pPr>
            <w:r>
              <w:t xml:space="preserve">Prevents teams using Dubai Municipality forms on a free-zone or master-developer project, or closing a project before the appropriate completion path is known.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Separate </w:t>
            </w:r>
            <w:r>
              <w:rPr>
                <w:rStyle w:val="MdStrong"/>
                <w:b/>
                <w:bCs/>
              </w:rPr>
              <w:t xml:space="preserve">Mob</w:t>
            </w:r>
            <w:r>
              <w:t xml:space="preserve">, </w:t>
            </w:r>
            <w:r>
              <w:rPr>
                <w:rStyle w:val="MdStrong"/>
                <w:b/>
                <w:bCs/>
              </w:rPr>
              <w:t xml:space="preserve">Live Compliance</w:t>
            </w:r>
            <w:r>
              <w:t xml:space="preserve">, </w:t>
            </w:r>
            <w:r>
              <w:rPr>
                <w:rStyle w:val="MdStrong"/>
                <w:b/>
                <w:bCs/>
              </w:rPr>
              <w:t xml:space="preserve">Demob/Closeout</w:t>
            </w:r>
            <w:r>
              <w:t xml:space="preserve"> and </w:t>
            </w:r>
            <w:r>
              <w:rPr>
                <w:rStyle w:val="MdStrong"/>
                <w:b/>
                <w:bCs/>
              </w:rPr>
              <w:t xml:space="preserve">Handover</w:t>
            </w:r>
            <w:r>
              <w:t xml:space="preserve"> stages</w:t>
            </w:r>
          </w:p>
        </w:tc>
        <w:tc>
          <w:tcPr>
            <w:tcBorders>
              <w:right w:val="none"/>
            </w:tcBorders>
            <w:tcMar>
              <w:top w:type="dxa" w:w="80"/>
              <w:left w:type="dxa" w:w="120"/>
              <w:bottom w:type="dxa" w:w="80"/>
              <w:right w:type="dxa" w:w="120"/>
            </w:tcMar>
            <w:vAlign w:val="center"/>
          </w:tcPr>
          <w:p>
            <w:pPr>
              <w:pStyle w:val="MdTableCell"/>
            </w:pPr>
            <w:r>
              <w:t xml:space="preserve">Shows that client acceptance is the outcome of a controlled process, not a document chase at the end.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Authority-specific cards with source link, document list, status, owner and due date</w:t>
            </w:r>
          </w:p>
        </w:tc>
        <w:tc>
          <w:tcPr>
            <w:tcBorders>
              <w:right w:val="none"/>
            </w:tcBorders>
            <w:tcMar>
              <w:top w:type="dxa" w:w="80"/>
              <w:left w:type="dxa" w:w="120"/>
              <w:bottom w:type="dxa" w:w="80"/>
              <w:right w:type="dxa" w:w="120"/>
            </w:tcMar>
            <w:vAlign w:val="center"/>
          </w:tcPr>
          <w:p>
            <w:pPr>
              <w:pStyle w:val="MdTableCell"/>
            </w:pPr>
            <w:r>
              <w:t xml:space="preserve">Gives the client a transparent audit trail and reduces reliance on unstructured email/WhatsApp updates.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A client “What to expect” panel</w:t>
            </w:r>
          </w:p>
        </w:tc>
        <w:tc>
          <w:tcPr>
            <w:tcBorders>
              <w:right w:val="none"/>
            </w:tcBorders>
            <w:tcMar>
              <w:top w:type="dxa" w:w="80"/>
              <w:left w:type="dxa" w:w="120"/>
              <w:bottom w:type="dxa" w:w="80"/>
              <w:right w:type="dxa" w:w="120"/>
            </w:tcMar>
            <w:vAlign w:val="center"/>
          </w:tcPr>
          <w:p>
            <w:pPr>
              <w:pStyle w:val="MdTableCell"/>
            </w:pPr>
            <w:r>
              <w:t xml:space="preserve">Sets expectations for approvals, inspections, temporary disruption, witness testing, snags, residual risks, warranties and record handover.</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A no-surprises closeout countdown</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Starts critical completion documents early; authorities commonly require the building permit, inspections and multiple third-party clearances before a completion certificate. </w:t>
            </w:r>
            <w:hyperlink w:history="1" r:id="rIdsyk2ilcziwamoi3dipfmt">
              <w:r>
                <w:rPr>
                  <w:rStyle w:val="MdLink"/>
                </w:rPr>
                <w:t xml:space="preserve">1</w:t>
              </w:r>
            </w:hyperlink>
            <w:r>
              <w:t xml:space="preserve"> </w:t>
            </w:r>
            <w:hyperlink w:history="1" r:id="rIdembkeenaqkygk-hpwyius">
              <w:r>
                <w:rPr>
                  <w:rStyle w:val="MdLink"/>
                </w:rPr>
                <w:t xml:space="preserve">6</w:t>
              </w:r>
            </w:hyperlink>
            <w:r>
              <w:t xml:space="preserve"> </w:t>
            </w:r>
            <w:hyperlink w:history="1" r:id="rIdflg28x_ak8iksww43rcq-">
              <w:r>
                <w:rPr>
                  <w:rStyle w:val="MdLink"/>
                </w:rPr>
                <w:t xml:space="preserve">7</w:t>
              </w:r>
            </w:hyperlink>
          </w:p>
        </w:tc>
      </w:tr>
    </w:tbl>
    <w:p>
      <w:pPr>
        <w:pStyle w:val="Heading2"/>
        <w:pStyle w:val="MdHeading2"/>
      </w:pPr>
      <w:r>
        <w:t xml:space="preserve">1. Recommended page architecture</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Page block</w:t>
            </w:r>
          </w:p>
        </w:tc>
        <w:tc>
          <w:tcPr>
            <w:tcMar>
              <w:top w:type="dxa" w:w="100"/>
              <w:left w:type="dxa" w:w="120"/>
              <w:bottom w:type="dxa" w:w="100"/>
              <w:right w:type="dxa" w:w="120"/>
            </w:tcMar>
            <w:vAlign w:val="center"/>
          </w:tcPr>
          <w:p>
            <w:pPr>
              <w:pStyle w:val="MdTableHeader"/>
            </w:pPr>
            <w:r>
              <w:t xml:space="preserve">Purpose</w:t>
            </w:r>
          </w:p>
        </w:tc>
        <w:tc>
          <w:tcPr>
            <w:tcMar>
              <w:top w:type="dxa" w:w="100"/>
              <w:left w:type="dxa" w:w="120"/>
              <w:bottom w:type="dxa" w:w="100"/>
              <w:right w:type="dxa" w:w="120"/>
            </w:tcMar>
            <w:vAlign w:val="center"/>
          </w:tcPr>
          <w:p>
            <w:pPr>
              <w:pStyle w:val="MdTableHeader"/>
            </w:pPr>
            <w:r>
              <w:t xml:space="preserve">User-facing content</w:t>
            </w:r>
          </w:p>
        </w:tc>
        <w:tc>
          <w:tcPr>
            <w:tcBorders>
              <w:right w:val="none"/>
            </w:tcBorders>
            <w:tcMar>
              <w:top w:type="dxa" w:w="100"/>
              <w:left w:type="dxa" w:w="120"/>
              <w:bottom w:type="dxa" w:w="100"/>
              <w:right w:type="dxa" w:w="120"/>
            </w:tcMar>
            <w:vAlign w:val="center"/>
          </w:tcPr>
          <w:p>
            <w:pPr>
              <w:pStyle w:val="MdTableHeader"/>
            </w:pPr>
            <w:r>
              <w:t xml:space="preserve">Primary system action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1. Project profile</w:t>
            </w:r>
          </w:p>
        </w:tc>
        <w:tc>
          <w:tcPr>
            <w:tcMar>
              <w:top w:type="dxa" w:w="80"/>
              <w:left w:type="dxa" w:w="120"/>
              <w:bottom w:type="dxa" w:w="80"/>
              <w:right w:type="dxa" w:w="120"/>
            </w:tcMar>
            <w:vAlign w:val="center"/>
          </w:tcPr>
          <w:p>
            <w:pPr>
              <w:pStyle w:val="MdTableCell"/>
            </w:pPr>
            <w:r>
              <w:t xml:space="preserve">Establish the controlling path</w:t>
            </w:r>
          </w:p>
        </w:tc>
        <w:tc>
          <w:tcPr>
            <w:tcMar>
              <w:top w:type="dxa" w:w="80"/>
              <w:left w:type="dxa" w:w="120"/>
              <w:bottom w:type="dxa" w:w="80"/>
              <w:right w:type="dxa" w:w="120"/>
            </w:tcMar>
            <w:vAlign w:val="center"/>
          </w:tcPr>
          <w:p>
            <w:pPr>
              <w:pStyle w:val="MdTableCell"/>
            </w:pPr>
            <w:r>
              <w:t xml:space="preserve">Emirate, plot/address, development, developer/client, project type, works package, target start and target handover</w:t>
            </w:r>
          </w:p>
        </w:tc>
        <w:tc>
          <w:tcPr>
            <w:tcBorders>
              <w:right w:val="none"/>
            </w:tcBorders>
            <w:tcMar>
              <w:top w:type="dxa" w:w="80"/>
              <w:left w:type="dxa" w:w="120"/>
              <w:bottom w:type="dxa" w:w="80"/>
              <w:right w:type="dxa" w:w="120"/>
            </w:tcMar>
            <w:vAlign w:val="center"/>
          </w:tcPr>
          <w:p>
            <w:pPr>
              <w:pStyle w:val="MdTableCell"/>
            </w:pPr>
            <w:r>
              <w:t xml:space="preserve">Save a project profile; create a jurisdiction record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2. Authority &amp; jurisdiction resolver</w:t>
            </w:r>
          </w:p>
        </w:tc>
        <w:tc>
          <w:tcPr>
            <w:tcMar>
              <w:top w:type="dxa" w:w="80"/>
              <w:left w:type="dxa" w:w="120"/>
              <w:bottom w:type="dxa" w:w="80"/>
              <w:right w:type="dxa" w:w="120"/>
            </w:tcMar>
            <w:vAlign w:val="center"/>
          </w:tcPr>
          <w:p>
            <w:pPr>
              <w:pStyle w:val="MdTableCell"/>
            </w:pPr>
            <w:r>
              <w:t xml:space="preserve">Identify the permit ecosystem</w:t>
            </w:r>
          </w:p>
        </w:tc>
        <w:tc>
          <w:tcPr>
            <w:tcMar>
              <w:top w:type="dxa" w:w="80"/>
              <w:left w:type="dxa" w:w="120"/>
              <w:bottom w:type="dxa" w:w="80"/>
              <w:right w:type="dxa" w:w="120"/>
            </w:tcMar>
            <w:vAlign w:val="center"/>
          </w:tcPr>
          <w:p>
            <w:pPr>
              <w:pStyle w:val="MdTableCell"/>
            </w:pPr>
            <w:r>
              <w:t xml:space="preserve">Mainland/free zone/master developer; local municipal authority; fire/life-safety authority; utility providers; road/traffic and environmental interfaces</w:t>
            </w:r>
          </w:p>
        </w:tc>
        <w:tc>
          <w:tcPr>
            <w:tcBorders>
              <w:right w:val="none"/>
            </w:tcBorders>
            <w:tcMar>
              <w:top w:type="dxa" w:w="80"/>
              <w:left w:type="dxa" w:w="120"/>
              <w:bottom w:type="dxa" w:w="80"/>
              <w:right w:type="dxa" w:w="120"/>
            </w:tcMar>
            <w:vAlign w:val="center"/>
          </w:tcPr>
          <w:p>
            <w:pPr>
              <w:pStyle w:val="MdTableCell"/>
            </w:pPr>
            <w:r>
              <w:t xml:space="preserve">Generate authority cards and flag “authority to confirm” items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3. Day-One readiness</w:t>
            </w:r>
          </w:p>
        </w:tc>
        <w:tc>
          <w:tcPr>
            <w:tcMar>
              <w:top w:type="dxa" w:w="80"/>
              <w:left w:type="dxa" w:w="120"/>
              <w:bottom w:type="dxa" w:w="80"/>
              <w:right w:type="dxa" w:w="120"/>
            </w:tcMar>
            <w:vAlign w:val="center"/>
          </w:tcPr>
          <w:p>
            <w:pPr>
              <w:pStyle w:val="MdTableCell"/>
            </w:pPr>
            <w:r>
              <w:t xml:space="preserve">Prevent unsafe or unauthorised mobilisation</w:t>
            </w:r>
          </w:p>
        </w:tc>
        <w:tc>
          <w:tcPr>
            <w:tcMar>
              <w:top w:type="dxa" w:w="80"/>
              <w:left w:type="dxa" w:w="120"/>
              <w:bottom w:type="dxa" w:w="80"/>
              <w:right w:type="dxa" w:w="120"/>
            </w:tcMar>
            <w:vAlign w:val="center"/>
          </w:tcPr>
          <w:p>
            <w:pPr>
              <w:pStyle w:val="MdTableCell"/>
            </w:pPr>
            <w:r>
              <w:t xml:space="preserve">Permit gate, site access, hoarding, welfare, temporary utilities, induction, emergency arrangements, plant and RAMS</w:t>
            </w:r>
          </w:p>
        </w:tc>
        <w:tc>
          <w:tcPr>
            <w:tcBorders>
              <w:right w:val="none"/>
            </w:tcBorders>
            <w:tcMar>
              <w:top w:type="dxa" w:w="80"/>
              <w:left w:type="dxa" w:w="120"/>
              <w:bottom w:type="dxa" w:w="80"/>
              <w:right w:type="dxa" w:w="120"/>
            </w:tcMar>
            <w:vAlign w:val="center"/>
          </w:tcPr>
          <w:p>
            <w:pPr>
              <w:pStyle w:val="MdTableCell"/>
            </w:pPr>
            <w:r>
              <w:t xml:space="preserve">Release or hold the Day-One gate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4. Authority submissions tracker</w:t>
            </w:r>
          </w:p>
        </w:tc>
        <w:tc>
          <w:tcPr>
            <w:tcMar>
              <w:top w:type="dxa" w:w="80"/>
              <w:left w:type="dxa" w:w="120"/>
              <w:bottom w:type="dxa" w:w="80"/>
              <w:right w:type="dxa" w:w="120"/>
            </w:tcMar>
            <w:vAlign w:val="center"/>
          </w:tcPr>
          <w:p>
            <w:pPr>
              <w:pStyle w:val="MdTableCell"/>
            </w:pPr>
            <w:r>
              <w:t xml:space="preserve">Manage external and client documents</w:t>
            </w:r>
          </w:p>
        </w:tc>
        <w:tc>
          <w:tcPr>
            <w:tcMar>
              <w:top w:type="dxa" w:w="80"/>
              <w:left w:type="dxa" w:w="120"/>
              <w:bottom w:type="dxa" w:w="80"/>
              <w:right w:type="dxa" w:w="120"/>
            </w:tcMar>
            <w:vAlign w:val="center"/>
          </w:tcPr>
          <w:p>
            <w:pPr>
              <w:pStyle w:val="MdTableCell"/>
            </w:pPr>
            <w:r>
              <w:t xml:space="preserve">Submission package, required attachments, submission date, reference number, comments, resubmission due date, approval expiry</w:t>
            </w:r>
          </w:p>
        </w:tc>
        <w:tc>
          <w:tcPr>
            <w:tcBorders>
              <w:right w:val="none"/>
            </w:tcBorders>
            <w:tcMar>
              <w:top w:type="dxa" w:w="80"/>
              <w:left w:type="dxa" w:w="120"/>
              <w:bottom w:type="dxa" w:w="80"/>
              <w:right w:type="dxa" w:w="120"/>
            </w:tcMar>
            <w:vAlign w:val="center"/>
          </w:tcPr>
          <w:p>
            <w:pPr>
              <w:pStyle w:val="MdTableCell"/>
            </w:pPr>
            <w:r>
              <w:t xml:space="preserve">Send reminders and issue an escalation report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5. Live construction evidence</w:t>
            </w:r>
          </w:p>
        </w:tc>
        <w:tc>
          <w:tcPr>
            <w:tcMar>
              <w:top w:type="dxa" w:w="80"/>
              <w:left w:type="dxa" w:w="120"/>
              <w:bottom w:type="dxa" w:w="80"/>
              <w:right w:type="dxa" w:w="120"/>
            </w:tcMar>
            <w:vAlign w:val="center"/>
          </w:tcPr>
          <w:p>
            <w:pPr>
              <w:pStyle w:val="MdTableCell"/>
            </w:pPr>
            <w:r>
              <w:t xml:space="preserve">Preserve evidence for inspections and handover</w:t>
            </w:r>
          </w:p>
        </w:tc>
        <w:tc>
          <w:tcPr>
            <w:tcMar>
              <w:top w:type="dxa" w:w="80"/>
              <w:left w:type="dxa" w:w="120"/>
              <w:bottom w:type="dxa" w:w="80"/>
              <w:right w:type="dxa" w:w="120"/>
            </w:tcMar>
            <w:vAlign w:val="center"/>
          </w:tcPr>
          <w:p>
            <w:pPr>
              <w:pStyle w:val="MdTableCell"/>
            </w:pPr>
            <w:r>
              <w:t xml:space="preserve">Inspection requests, test reports, permits, photos, training, waste records, changes, non-conformances</w:t>
            </w:r>
          </w:p>
        </w:tc>
        <w:tc>
          <w:tcPr>
            <w:tcBorders>
              <w:right w:val="none"/>
            </w:tcBorders>
            <w:tcMar>
              <w:top w:type="dxa" w:w="80"/>
              <w:left w:type="dxa" w:w="120"/>
              <w:bottom w:type="dxa" w:w="80"/>
              <w:right w:type="dxa" w:w="120"/>
            </w:tcMar>
            <w:vAlign w:val="center"/>
          </w:tcPr>
          <w:p>
            <w:pPr>
              <w:pStyle w:val="MdTableCell"/>
            </w:pPr>
            <w:r>
              <w:t xml:space="preserve">Link evidence to checklist and asset/system</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6. Demobilisation &amp; closeout</w:t>
            </w:r>
          </w:p>
        </w:tc>
        <w:tc>
          <w:tcPr>
            <w:tcMar>
              <w:top w:type="dxa" w:w="80"/>
              <w:left w:type="dxa" w:w="120"/>
              <w:bottom w:type="dxa" w:w="80"/>
              <w:right w:type="dxa" w:w="120"/>
            </w:tcMar>
            <w:vAlign w:val="center"/>
          </w:tcPr>
          <w:p>
            <w:pPr>
              <w:pStyle w:val="MdTableCell"/>
            </w:pPr>
            <w:r>
              <w:t xml:space="preserve">Control safe removal and temporary works closure</w:t>
            </w:r>
          </w:p>
        </w:tc>
        <w:tc>
          <w:tcPr>
            <w:tcMar>
              <w:top w:type="dxa" w:w="80"/>
              <w:left w:type="dxa" w:w="120"/>
              <w:bottom w:type="dxa" w:w="80"/>
              <w:right w:type="dxa" w:w="120"/>
            </w:tcMar>
            <w:vAlign w:val="center"/>
          </w:tcPr>
          <w:p>
            <w:pPr>
              <w:pStyle w:val="MdTableCell"/>
            </w:pPr>
            <w:r>
              <w:t xml:space="preserve">Demob plan, utilities isolation, temporary works removal, waste transfer notes, reinstatement, records retention</w:t>
            </w:r>
          </w:p>
        </w:tc>
        <w:tc>
          <w:tcPr>
            <w:tcBorders>
              <w:right w:val="none"/>
            </w:tcBorders>
            <w:tcMar>
              <w:top w:type="dxa" w:w="80"/>
              <w:left w:type="dxa" w:w="120"/>
              <w:bottom w:type="dxa" w:w="80"/>
              <w:right w:type="dxa" w:w="120"/>
            </w:tcMar>
            <w:vAlign w:val="center"/>
          </w:tcPr>
          <w:p>
            <w:pPr>
              <w:pStyle w:val="MdTableCell"/>
            </w:pPr>
            <w:r>
              <w:t xml:space="preserve">Release demob work packages only after prerequisite checks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7. Client handover</w:t>
            </w:r>
          </w:p>
        </w:tc>
        <w:tc>
          <w:tcPr>
            <w:tcMar>
              <w:top w:type="dxa" w:w="80"/>
              <w:left w:type="dxa" w:w="120"/>
              <w:bottom w:type="dxa" w:w="80"/>
              <w:right w:type="dxa" w:w="120"/>
            </w:tcMar>
            <w:vAlign w:val="center"/>
          </w:tcPr>
          <w:p>
            <w:pPr>
              <w:pStyle w:val="MdTableCell"/>
            </w:pPr>
            <w:r>
              <w:t xml:space="preserve">Make client acceptance predictable</w:t>
            </w:r>
          </w:p>
        </w:tc>
        <w:tc>
          <w:tcPr>
            <w:tcMar>
              <w:top w:type="dxa" w:w="80"/>
              <w:left w:type="dxa" w:w="120"/>
              <w:bottom w:type="dxa" w:w="80"/>
              <w:right w:type="dxa" w:w="120"/>
            </w:tcMar>
            <w:vAlign w:val="center"/>
          </w:tcPr>
          <w:p>
            <w:pPr>
              <w:pStyle w:val="MdTableCell"/>
            </w:pPr>
            <w:r>
              <w:t xml:space="preserve">Pre-handover inspection, snag register, testing/witness schedule, O&amp;M manuals, warranties, as-builts, training, keys/access and residual-risk register</w:t>
            </w:r>
          </w:p>
        </w:tc>
        <w:tc>
          <w:tcPr>
            <w:tcBorders>
              <w:right w:val="none"/>
            </w:tcBorders>
            <w:tcMar>
              <w:top w:type="dxa" w:w="80"/>
              <w:left w:type="dxa" w:w="120"/>
              <w:bottom w:type="dxa" w:w="80"/>
              <w:right w:type="dxa" w:w="120"/>
            </w:tcMar>
            <w:vAlign w:val="center"/>
          </w:tcPr>
          <w:p>
            <w:pPr>
              <w:pStyle w:val="MdTableCell"/>
            </w:pPr>
            <w:r>
              <w:t xml:space="preserve">Produce a handover dossier and acceptance tracker</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8. Management dashboard</w:t>
            </w:r>
          </w:p>
        </w:tc>
        <w:tc>
          <w:tcPr>
            <w:tcBorders>
              <w:bottom w:val="single" w:color="E1E4E8" w:sz="4"/>
            </w:tcBorders>
            <w:tcMar>
              <w:top w:type="dxa" w:w="80"/>
              <w:left w:type="dxa" w:w="120"/>
              <w:bottom w:type="dxa" w:w="80"/>
              <w:right w:type="dxa" w:w="120"/>
            </w:tcMar>
            <w:vAlign w:val="center"/>
          </w:tcPr>
          <w:p>
            <w:pPr>
              <w:pStyle w:val="MdTableCell"/>
            </w:pPr>
            <w:r>
              <w:t xml:space="preserve">Show decision-makers what can stop Day One or handover</w:t>
            </w:r>
          </w:p>
        </w:tc>
        <w:tc>
          <w:tcPr>
            <w:tcBorders>
              <w:bottom w:val="single" w:color="E1E4E8" w:sz="4"/>
            </w:tcBorders>
            <w:tcMar>
              <w:top w:type="dxa" w:w="80"/>
              <w:left w:type="dxa" w:w="120"/>
              <w:bottom w:type="dxa" w:w="80"/>
              <w:right w:type="dxa" w:w="120"/>
            </w:tcMar>
            <w:vAlign w:val="center"/>
          </w:tcPr>
          <w:p>
            <w:pPr>
              <w:pStyle w:val="MdTableCell"/>
            </w:pPr>
            <w:r>
              <w:t xml:space="preserve">Critical-path approvals, overdue documents, expiring permits, open snags, readiness percentage by responsible party</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Export weekly readiness pack</w:t>
            </w:r>
          </w:p>
        </w:tc>
      </w:tr>
    </w:tbl>
    <w:p>
      <w:pPr>
        <w:pStyle w:val="Heading3"/>
        <w:pStyle w:val="MdHeading3"/>
      </w:pPr>
      <w:r>
        <w:t xml:space="preserve">Suggested authority card design</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Field</w:t>
            </w:r>
          </w:p>
        </w:tc>
        <w:tc>
          <w:tcPr>
            <w:tcBorders>
              <w:right w:val="none"/>
            </w:tcBorders>
            <w:tcMar>
              <w:top w:type="dxa" w:w="100"/>
              <w:left w:type="dxa" w:w="120"/>
              <w:bottom w:type="dxa" w:w="100"/>
              <w:right w:type="dxa" w:w="120"/>
            </w:tcMar>
            <w:vAlign w:val="center"/>
          </w:tcPr>
          <w:p>
            <w:pPr>
              <w:pStyle w:val="MdTableHeader"/>
            </w:pPr>
            <w:r>
              <w:t xml:space="preserve">Example behaviour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Authority</w:t>
            </w:r>
          </w:p>
        </w:tc>
        <w:tc>
          <w:tcPr>
            <w:tcBorders>
              <w:right w:val="none"/>
            </w:tcBorders>
            <w:tcMar>
              <w:top w:type="dxa" w:w="80"/>
              <w:left w:type="dxa" w:w="120"/>
              <w:bottom w:type="dxa" w:w="80"/>
              <w:right w:type="dxa" w:w="120"/>
            </w:tcMar>
            <w:vAlign w:val="center"/>
          </w:tcPr>
          <w:p>
            <w:pPr>
              <w:pStyle w:val="MdTableCell"/>
            </w:pPr>
            <w:r>
              <w:t xml:space="preserve">Dubai Municipality, DDA/Trakhees, DMT/municipality, SEWA, Civil Defence, RAK Municipality, client/master developer or a free-zone engineering department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Why this appears</w:t>
            </w:r>
          </w:p>
        </w:tc>
        <w:tc>
          <w:tcPr>
            <w:tcBorders>
              <w:right w:val="none"/>
            </w:tcBorders>
            <w:tcMar>
              <w:top w:type="dxa" w:w="80"/>
              <w:left w:type="dxa" w:w="120"/>
              <w:bottom w:type="dxa" w:w="80"/>
              <w:right w:type="dxa" w:w="120"/>
            </w:tcMar>
            <w:vAlign w:val="center"/>
          </w:tcPr>
          <w:p>
            <w:pPr>
              <w:pStyle w:val="MdTableCell"/>
            </w:pPr>
            <w:r>
              <w:t xml:space="preserve">“Project is recorded as mainland Dubai and includes permanent building works” or “Project is inside a named free zone”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Gate</w:t>
            </w:r>
          </w:p>
        </w:tc>
        <w:tc>
          <w:tcPr>
            <w:tcBorders>
              <w:right w:val="none"/>
            </w:tcBorders>
            <w:tcMar>
              <w:top w:type="dxa" w:w="80"/>
              <w:left w:type="dxa" w:w="120"/>
              <w:bottom w:type="dxa" w:w="80"/>
              <w:right w:type="dxa" w:w="120"/>
            </w:tcMar>
            <w:vAlign w:val="center"/>
          </w:tcPr>
          <w:p>
            <w:pPr>
              <w:pStyle w:val="MdTableCell"/>
            </w:pPr>
            <w:r>
              <w:rPr>
                <w:rStyle w:val="MdStrong"/>
                <w:b/>
                <w:bCs/>
              </w:rPr>
              <w:t xml:space="preserve">Before mobilisation</w:t>
            </w:r>
            <w:r>
              <w:t xml:space="preserve">, </w:t>
            </w:r>
            <w:r>
              <w:rPr>
                <w:rStyle w:val="MdStrong"/>
                <w:b/>
                <w:bCs/>
              </w:rPr>
              <w:t xml:space="preserve">before a defined work activity</w:t>
            </w:r>
            <w:r>
              <w:t xml:space="preserve">, </w:t>
            </w:r>
            <w:r>
              <w:rPr>
                <w:rStyle w:val="MdStrong"/>
                <w:b/>
                <w:bCs/>
              </w:rPr>
              <w:t xml:space="preserve">before permanent connection</w:t>
            </w:r>
            <w:r>
              <w:t xml:space="preserve">, </w:t>
            </w:r>
            <w:r>
              <w:rPr>
                <w:rStyle w:val="MdStrong"/>
                <w:b/>
                <w:bCs/>
              </w:rPr>
              <w:t xml:space="preserve">before completion/handover</w:t>
            </w:r>
            <w:r>
              <w:t xml:space="preserve">, or </w:t>
            </w:r>
            <w:r>
              <w:rPr>
                <w:rStyle w:val="MdStrong"/>
                <w:b/>
                <w:bCs/>
              </w:rPr>
              <w:t xml:space="preserve">ongoing</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Required evidence</w:t>
            </w:r>
          </w:p>
        </w:tc>
        <w:tc>
          <w:tcPr>
            <w:tcBorders>
              <w:right w:val="none"/>
            </w:tcBorders>
            <w:tcMar>
              <w:top w:type="dxa" w:w="80"/>
              <w:left w:type="dxa" w:w="120"/>
              <w:bottom w:type="dxa" w:w="80"/>
              <w:right w:type="dxa" w:w="120"/>
            </w:tcMar>
            <w:vAlign w:val="center"/>
          </w:tcPr>
          <w:p>
            <w:pPr>
              <w:pStyle w:val="MdTableCell"/>
            </w:pPr>
            <w:r>
              <w:t xml:space="preserve">Permit/NOC/certificate, stamped drawing, appointment letter, work plan, inspection report, test report, as-built, clearance or client acceptance record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Owner</w:t>
            </w:r>
          </w:p>
        </w:tc>
        <w:tc>
          <w:tcPr>
            <w:tcBorders>
              <w:right w:val="none"/>
            </w:tcBorders>
            <w:tcMar>
              <w:top w:type="dxa" w:w="80"/>
              <w:left w:type="dxa" w:w="120"/>
              <w:bottom w:type="dxa" w:w="80"/>
              <w:right w:type="dxa" w:w="120"/>
            </w:tcMar>
            <w:vAlign w:val="center"/>
          </w:tcPr>
          <w:p>
            <w:pPr>
              <w:pStyle w:val="MdTableCell"/>
            </w:pPr>
            <w:r>
              <w:t xml:space="preserve">Client/developer, consultant, main contractor, subcontractor, utility coordinator or document controller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Due date</w:t>
            </w:r>
          </w:p>
        </w:tc>
        <w:tc>
          <w:tcPr>
            <w:tcBorders>
              <w:right w:val="none"/>
            </w:tcBorders>
            <w:tcMar>
              <w:top w:type="dxa" w:w="80"/>
              <w:left w:type="dxa" w:w="120"/>
              <w:bottom w:type="dxa" w:w="80"/>
              <w:right w:type="dxa" w:w="120"/>
            </w:tcMar>
            <w:vAlign w:val="center"/>
          </w:tcPr>
          <w:p>
            <w:pPr>
              <w:pStyle w:val="MdTableCell"/>
            </w:pPr>
            <w:r>
              <w:t xml:space="preserve">Target submission, authority response target, latest acceptable date and dependency date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Status</w:t>
            </w:r>
          </w:p>
        </w:tc>
        <w:tc>
          <w:tcPr>
            <w:tcBorders>
              <w:right w:val="none"/>
            </w:tcBorders>
            <w:tcMar>
              <w:top w:type="dxa" w:w="80"/>
              <w:left w:type="dxa" w:w="120"/>
              <w:bottom w:type="dxa" w:w="80"/>
              <w:right w:type="dxa" w:w="120"/>
            </w:tcMar>
            <w:vAlign w:val="center"/>
          </w:tcPr>
          <w:p>
            <w:pPr>
              <w:pStyle w:val="MdTableCell"/>
            </w:pPr>
            <w:r>
              <w:t xml:space="preserve">Not started / In preparation / Submitted / Comments received / Resubmission due / Approved / Expired / Not applicable / Waived by client</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Evidence controls</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Authority reference, issue/expiry date, file attachment, version, approver and a reason if marked not applicable</w:t>
            </w:r>
          </w:p>
        </w:tc>
      </w:tr>
    </w:tbl>
    <w:p>
      <w:pPr>
        <w:pStyle w:val="Heading2"/>
        <w:pStyle w:val="MdHeading2"/>
      </w:pPr>
      <w:r>
        <w:t xml:space="preserve">2. UAE authority and jurisdiction matrix</w:t>
      </w:r>
    </w:p>
    <w:p>
      <w:pPr>
        <w:pStyle w:val="MdParagraph"/>
      </w:pPr>
      <w:r>
        <w:t xml:space="preserve">The list below is an </w:t>
      </w:r>
      <w:r>
        <w:rPr>
          <w:rStyle w:val="MdStrong"/>
          <w:b/>
          <w:bCs/>
        </w:rPr>
        <w:t xml:space="preserve">authority map for project setup</w:t>
      </w:r>
      <w:r>
        <w:t xml:space="preserve">, not an exhaustive permit register. The system should show only the relevant bodies after the user identifies the site and work scope. The UAE Government’s own completion-certificate page directs users to municipal pathways in Abu Dhabi, Dubai, Sharjah, Ajman, Fujairah and Umm Al Quwain, demonstrating why the page must remain emirate-specific. </w:t>
      </w:r>
      <w:hyperlink w:history="1" r:id="rIdzrgn_33lo3u6u_1t1x5yt">
        <w:r>
          <w:rPr>
            <w:rStyle w:val="MdLink"/>
          </w:rPr>
          <w:t xml:space="preserve">1</w:t>
        </w:r>
      </w:hyperlink>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Emirate</w:t>
            </w:r>
          </w:p>
        </w:tc>
        <w:tc>
          <w:tcPr>
            <w:tcMar>
              <w:top w:type="dxa" w:w="100"/>
              <w:left w:type="dxa" w:w="120"/>
              <w:bottom w:type="dxa" w:w="100"/>
              <w:right w:type="dxa" w:w="120"/>
            </w:tcMar>
            <w:vAlign w:val="center"/>
          </w:tcPr>
          <w:p>
            <w:pPr>
              <w:pStyle w:val="MdTableHeader"/>
            </w:pPr>
            <w:r>
              <w:t xml:space="preserve">Core mainland pathway to show</w:t>
            </w:r>
          </w:p>
        </w:tc>
        <w:tc>
          <w:tcPr>
            <w:tcMar>
              <w:top w:type="dxa" w:w="100"/>
              <w:left w:type="dxa" w:w="120"/>
              <w:bottom w:type="dxa" w:w="100"/>
              <w:right w:type="dxa" w:w="120"/>
            </w:tcMar>
            <w:vAlign w:val="center"/>
          </w:tcPr>
          <w:p>
            <w:pPr>
              <w:pStyle w:val="MdTableHeader"/>
            </w:pPr>
            <w:r>
              <w:t xml:space="preserve">Conditional interfaces to prompt for</w:t>
            </w:r>
          </w:p>
        </w:tc>
        <w:tc>
          <w:tcPr>
            <w:tcMar>
              <w:top w:type="dxa" w:w="100"/>
              <w:left w:type="dxa" w:w="120"/>
              <w:bottom w:type="dxa" w:w="100"/>
              <w:right w:type="dxa" w:w="120"/>
            </w:tcMar>
            <w:vAlign w:val="center"/>
          </w:tcPr>
          <w:p>
            <w:pPr>
              <w:pStyle w:val="MdTableHeader"/>
            </w:pPr>
            <w:r>
              <w:t xml:space="preserve">Free-zone/master-developer rule to show</w:t>
            </w:r>
          </w:p>
        </w:tc>
        <w:tc>
          <w:tcPr>
            <w:tcBorders>
              <w:right w:val="none"/>
            </w:tcBorders>
            <w:tcMar>
              <w:top w:type="dxa" w:w="100"/>
              <w:left w:type="dxa" w:w="120"/>
              <w:bottom w:type="dxa" w:w="100"/>
              <w:right w:type="dxa" w:w="120"/>
            </w:tcMar>
            <w:vAlign w:val="center"/>
          </w:tcPr>
          <w:p>
            <w:pPr>
              <w:pStyle w:val="MdTableHeader"/>
            </w:pPr>
            <w:r>
              <w:t xml:space="preserve">Practical Day-One and handover hint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Dubai</w:t>
            </w:r>
          </w:p>
        </w:tc>
        <w:tc>
          <w:tcPr>
            <w:tcMar>
              <w:top w:type="dxa" w:w="80"/>
              <w:left w:type="dxa" w:w="120"/>
              <w:bottom w:type="dxa" w:w="80"/>
              <w:right w:type="dxa" w:w="120"/>
            </w:tcMar>
            <w:vAlign w:val="center"/>
          </w:tcPr>
          <w:p>
            <w:pPr>
              <w:pStyle w:val="MdTableCell"/>
            </w:pPr>
            <w:r>
              <w:t xml:space="preserve">Dubai Municipality for building-control pathway; Dubai Civil Defence for fire/life-safety interface; DEWA for electricity/water interface</w:t>
            </w:r>
          </w:p>
        </w:tc>
        <w:tc>
          <w:tcPr>
            <w:tcMar>
              <w:top w:type="dxa" w:w="80"/>
              <w:left w:type="dxa" w:w="120"/>
              <w:bottom w:type="dxa" w:w="80"/>
              <w:right w:type="dxa" w:w="120"/>
            </w:tcMar>
            <w:vAlign w:val="center"/>
          </w:tcPr>
          <w:p>
            <w:pPr>
              <w:pStyle w:val="MdTableCell"/>
            </w:pPr>
            <w:r>
              <w:t xml:space="preserve">RTA or other road/right-of-way authority; drainage/sewer interface; telecoms; client/master-developer NOCs</w:t>
            </w:r>
          </w:p>
        </w:tc>
        <w:tc>
          <w:tcPr>
            <w:tcMar>
              <w:top w:type="dxa" w:w="80"/>
              <w:left w:type="dxa" w:w="120"/>
              <w:bottom w:type="dxa" w:w="80"/>
              <w:right w:type="dxa" w:w="120"/>
            </w:tcMar>
            <w:vAlign w:val="center"/>
          </w:tcPr>
          <w:p>
            <w:pPr>
              <w:pStyle w:val="MdTableCell"/>
            </w:pPr>
            <w:r>
              <w:t xml:space="preserve">Do </w:t>
            </w:r>
            <w:r>
              <w:rPr>
                <w:rStyle w:val="MdStrong"/>
                <w:b/>
                <w:bCs/>
              </w:rPr>
              <w:t xml:space="preserve">not</w:t>
            </w:r>
            <w:r>
              <w:t xml:space="preserve"> default a free-zone development to the municipal path. Identify the exact zone and use its planning/engineering/EHS process. Dubai Development Authority’s Mobilization Permit is one documented example. </w:t>
            </w:r>
            <w:hyperlink w:history="1" r:id="rIduqtfpxu1quzj3odlwddup">
              <w:r>
                <w:rPr>
                  <w:rStyle w:val="MdLink"/>
                </w:rPr>
                <w:t xml:space="preserve">2</w:t>
              </w:r>
            </w:hyperlink>
          </w:p>
        </w:tc>
        <w:tc>
          <w:tcPr>
            <w:tcBorders>
              <w:right w:val="none"/>
            </w:tcBorders>
            <w:tcMar>
              <w:top w:type="dxa" w:w="80"/>
              <w:left w:type="dxa" w:w="120"/>
              <w:bottom w:type="dxa" w:w="80"/>
              <w:right w:type="dxa" w:w="120"/>
            </w:tcMar>
            <w:vAlign w:val="center"/>
          </w:tcPr>
          <w:p>
            <w:pPr>
              <w:pStyle w:val="MdTableCell"/>
            </w:pPr>
            <w:r>
              <w:t xml:space="preserve">Ask whether the development sits in a DDA, PCFC/Trakhees or other developer-controlled zone before issuing the checklist. Include fire, permanent utilities and completion-certificate dependencies early.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Abu Dhabi</w:t>
            </w:r>
          </w:p>
        </w:tc>
        <w:tc>
          <w:tcPr>
            <w:tcMar>
              <w:top w:type="dxa" w:w="80"/>
              <w:left w:type="dxa" w:w="120"/>
              <w:bottom w:type="dxa" w:w="80"/>
              <w:right w:type="dxa" w:w="120"/>
            </w:tcMar>
            <w:vAlign w:val="center"/>
          </w:tcPr>
          <w:p>
            <w:pPr>
              <w:pStyle w:val="MdTableCell"/>
            </w:pPr>
            <w:r>
              <w:t xml:space="preserve">Department of Municipalities and Transport (DMT), through the relevant municipal pathway; Abu Dhabi Civil Defence Authority; utility/infrastructure interfaces</w:t>
            </w:r>
          </w:p>
        </w:tc>
        <w:tc>
          <w:tcPr>
            <w:tcMar>
              <w:top w:type="dxa" w:w="80"/>
              <w:left w:type="dxa" w:w="120"/>
              <w:bottom w:type="dxa" w:w="80"/>
              <w:right w:type="dxa" w:w="120"/>
            </w:tcMar>
            <w:vAlign w:val="center"/>
          </w:tcPr>
          <w:p>
            <w:pPr>
              <w:pStyle w:val="MdTableCell"/>
            </w:pPr>
            <w:r>
              <w:t xml:space="preserve">Road/corridor, environmental, telecoms, gas, district cooling and client/developer requirements</w:t>
            </w:r>
          </w:p>
        </w:tc>
        <w:tc>
          <w:tcPr>
            <w:tcMar>
              <w:top w:type="dxa" w:w="80"/>
              <w:left w:type="dxa" w:w="120"/>
              <w:bottom w:type="dxa" w:w="80"/>
              <w:right w:type="dxa" w:w="120"/>
            </w:tcMar>
            <w:vAlign w:val="center"/>
          </w:tcPr>
          <w:p>
            <w:pPr>
              <w:pStyle w:val="MdTableCell"/>
            </w:pPr>
            <w:r>
              <w:t xml:space="preserve">Identify whether the plot is mainland Abu Dhabi, Al Ain, Al Dhafra, KEZAD, ADGM, Masdar or another master-developer area before setting the path</w:t>
            </w:r>
          </w:p>
        </w:tc>
        <w:tc>
          <w:tcPr>
            <w:tcBorders>
              <w:right w:val="none"/>
            </w:tcBorders>
            <w:tcMar>
              <w:top w:type="dxa" w:w="80"/>
              <w:left w:type="dxa" w:w="120"/>
              <w:bottom w:type="dxa" w:w="80"/>
              <w:right w:type="dxa" w:w="120"/>
            </w:tcMar>
            <w:vAlign w:val="center"/>
          </w:tcPr>
          <w:p>
            <w:pPr>
              <w:pStyle w:val="MdTableCell"/>
            </w:pPr>
            <w:r>
              <w:t xml:space="preserve">Treat the </w:t>
            </w:r>
            <w:r>
              <w:rPr>
                <w:rStyle w:val="MdStrong"/>
                <w:b/>
                <w:bCs/>
              </w:rPr>
              <w:t xml:space="preserve">completion-certificate file</w:t>
            </w:r>
            <w:r>
              <w:t xml:space="preserve"> and occupancy/utility dependencies as a separate management gate, not an end-of-project administrative task. </w:t>
            </w:r>
            <w:hyperlink w:history="1" r:id="rIdbn_uxs55ko2iopowslfcz">
              <w:r>
                <w:rPr>
                  <w:rStyle w:val="MdLink"/>
                </w:rPr>
                <w:t xml:space="preserve">3</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Sharjah</w:t>
            </w:r>
          </w:p>
        </w:tc>
        <w:tc>
          <w:tcPr>
            <w:tcMar>
              <w:top w:type="dxa" w:w="80"/>
              <w:left w:type="dxa" w:w="120"/>
              <w:bottom w:type="dxa" w:w="80"/>
              <w:right w:type="dxa" w:w="120"/>
            </w:tcMar>
            <w:vAlign w:val="center"/>
          </w:tcPr>
          <w:p>
            <w:pPr>
              <w:pStyle w:val="MdTableCell"/>
            </w:pPr>
            <w:r>
              <w:t xml:space="preserve">Sharjah Municipality; Sharjah Civil Defence; SEWA</w:t>
            </w:r>
          </w:p>
        </w:tc>
        <w:tc>
          <w:tcPr>
            <w:tcMar>
              <w:top w:type="dxa" w:w="80"/>
              <w:left w:type="dxa" w:w="120"/>
              <w:bottom w:type="dxa" w:w="80"/>
              <w:right w:type="dxa" w:w="120"/>
            </w:tcMar>
            <w:vAlign w:val="center"/>
          </w:tcPr>
          <w:p>
            <w:pPr>
              <w:pStyle w:val="MdTableCell"/>
            </w:pPr>
            <w:r>
              <w:t xml:space="preserve">SRTA/right-of-way, telecoms, sewer/drainage and developer requirements</w:t>
            </w:r>
          </w:p>
        </w:tc>
        <w:tc>
          <w:tcPr>
            <w:tcMar>
              <w:top w:type="dxa" w:w="80"/>
              <w:left w:type="dxa" w:w="120"/>
              <w:bottom w:type="dxa" w:w="80"/>
              <w:right w:type="dxa" w:w="120"/>
            </w:tcMar>
            <w:vAlign w:val="center"/>
          </w:tcPr>
          <w:p>
            <w:pPr>
              <w:pStyle w:val="MdTableCell"/>
            </w:pPr>
            <w:r>
              <w:t xml:space="preserve">Confirm SAIF Zone, Hamriyah, SPC Free Zone or other developer/free-zone control before displaying municipal forms</w:t>
            </w:r>
          </w:p>
        </w:tc>
        <w:tc>
          <w:tcPr>
            <w:tcBorders>
              <w:right w:val="none"/>
            </w:tcBorders>
            <w:tcMar>
              <w:top w:type="dxa" w:w="80"/>
              <w:left w:type="dxa" w:w="120"/>
              <w:bottom w:type="dxa" w:w="80"/>
              <w:right w:type="dxa" w:w="120"/>
            </w:tcMar>
            <w:vAlign w:val="center"/>
          </w:tcPr>
          <w:p>
            <w:pPr>
              <w:pStyle w:val="MdTableCell"/>
            </w:pPr>
            <w:r>
              <w:t xml:space="preserve">Start planning and utility/fire interfaces early and make the building completion certificate a non-negotiable handover prerequisite. </w:t>
            </w:r>
            <w:hyperlink w:history="1" r:id="rIdkf2s-mbpgkv4w8g1s0avh">
              <w:r>
                <w:rPr>
                  <w:rStyle w:val="MdLink"/>
                </w:rPr>
                <w:t xml:space="preserve">1</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Ajman</w:t>
            </w:r>
          </w:p>
        </w:tc>
        <w:tc>
          <w:tcPr>
            <w:tcMar>
              <w:top w:type="dxa" w:w="80"/>
              <w:left w:type="dxa" w:w="120"/>
              <w:bottom w:type="dxa" w:w="80"/>
              <w:right w:type="dxa" w:w="120"/>
            </w:tcMar>
            <w:vAlign w:val="center"/>
          </w:tcPr>
          <w:p>
            <w:pPr>
              <w:pStyle w:val="MdTableCell"/>
            </w:pPr>
            <w:r>
              <w:t xml:space="preserve">Ajman Municipality and Planning Department; General Department of Civil Defence; EtihadWE, telecoms and Ajman Sewerage as applicable</w:t>
            </w:r>
          </w:p>
        </w:tc>
        <w:tc>
          <w:tcPr>
            <w:tcMar>
              <w:top w:type="dxa" w:w="80"/>
              <w:left w:type="dxa" w:w="120"/>
              <w:bottom w:type="dxa" w:w="80"/>
              <w:right w:type="dxa" w:w="120"/>
            </w:tcMar>
            <w:vAlign w:val="center"/>
          </w:tcPr>
          <w:p>
            <w:pPr>
              <w:pStyle w:val="MdTableCell"/>
            </w:pPr>
            <w:r>
              <w:t xml:space="preserve">Department of Roads and Infrastructure; Ajman Police security-specification compliance; client/developer requirements</w:t>
            </w:r>
          </w:p>
        </w:tc>
        <w:tc>
          <w:tcPr>
            <w:tcMar>
              <w:top w:type="dxa" w:w="80"/>
              <w:left w:type="dxa" w:w="120"/>
              <w:bottom w:type="dxa" w:w="80"/>
              <w:right w:type="dxa" w:w="120"/>
            </w:tcMar>
            <w:vAlign w:val="center"/>
          </w:tcPr>
          <w:p>
            <w:pPr>
              <w:pStyle w:val="MdTableCell"/>
            </w:pPr>
            <w:r>
              <w:t xml:space="preserve">Confirm Ajman Free Zone or other estate/developer procedure before using the mainland checklist</w:t>
            </w:r>
          </w:p>
        </w:tc>
        <w:tc>
          <w:tcPr>
            <w:tcBorders>
              <w:right w:val="none"/>
            </w:tcBorders>
            <w:tcMar>
              <w:top w:type="dxa" w:w="80"/>
              <w:left w:type="dxa" w:w="120"/>
              <w:bottom w:type="dxa" w:w="80"/>
              <w:right w:type="dxa" w:w="120"/>
            </w:tcMar>
            <w:vAlign w:val="center"/>
          </w:tcPr>
          <w:p>
            <w:pPr>
              <w:pStyle w:val="MdTableCell"/>
            </w:pPr>
            <w:r>
              <w:t xml:space="preserve">The official building-permit service expressly lists executive drawings and approvals from EtihadWE, telecoms, Ajman Sewerage and, except for residential/agricultural cases, Civil Defence. </w:t>
            </w:r>
            <w:hyperlink w:history="1" r:id="rIdal3amik8lwvkebify_wy6">
              <w:r>
                <w:rPr>
                  <w:rStyle w:val="MdLink"/>
                </w:rPr>
                <w:t xml:space="preserve">4</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Ras Al Khaimah</w:t>
            </w:r>
          </w:p>
        </w:tc>
        <w:tc>
          <w:tcPr>
            <w:tcMar>
              <w:top w:type="dxa" w:w="80"/>
              <w:left w:type="dxa" w:w="120"/>
              <w:bottom w:type="dxa" w:w="80"/>
              <w:right w:type="dxa" w:w="120"/>
            </w:tcMar>
            <w:vAlign w:val="center"/>
          </w:tcPr>
          <w:p>
            <w:pPr>
              <w:pStyle w:val="MdTableCell"/>
            </w:pPr>
            <w:r>
              <w:t xml:space="preserve">RAK Municipality via RAK Digital/Sanad; Civil Defence where applicable</w:t>
            </w:r>
          </w:p>
        </w:tc>
        <w:tc>
          <w:tcPr>
            <w:tcMar>
              <w:top w:type="dxa" w:w="80"/>
              <w:left w:type="dxa" w:w="120"/>
              <w:bottom w:type="dxa" w:w="80"/>
              <w:right w:type="dxa" w:w="120"/>
            </w:tcMar>
            <w:vAlign w:val="center"/>
          </w:tcPr>
          <w:p>
            <w:pPr>
              <w:pStyle w:val="MdTableCell"/>
            </w:pPr>
            <w:r>
              <w:t xml:space="preserve">RAKWA, telecoms, General Resources Authority, utility and green-building interfaces</w:t>
            </w:r>
          </w:p>
        </w:tc>
        <w:tc>
          <w:tcPr>
            <w:tcMar>
              <w:top w:type="dxa" w:w="80"/>
              <w:left w:type="dxa" w:w="120"/>
              <w:bottom w:type="dxa" w:w="80"/>
              <w:right w:type="dxa" w:w="120"/>
            </w:tcMar>
            <w:vAlign w:val="center"/>
          </w:tcPr>
          <w:p>
            <w:pPr>
              <w:pStyle w:val="MdTableCell"/>
            </w:pPr>
            <w:r>
              <w:t xml:space="preserve">Confirm RAKEZ, RAK Maritime City or other development-zone requirements first</w:t>
            </w:r>
          </w:p>
        </w:tc>
        <w:tc>
          <w:tcPr>
            <w:tcBorders>
              <w:right w:val="none"/>
            </w:tcBorders>
            <w:tcMar>
              <w:top w:type="dxa" w:w="80"/>
              <w:left w:type="dxa" w:w="120"/>
              <w:bottom w:type="dxa" w:w="80"/>
              <w:right w:type="dxa" w:w="120"/>
            </w:tcMar>
            <w:vAlign w:val="center"/>
          </w:tcPr>
          <w:p>
            <w:pPr>
              <w:pStyle w:val="MdTableCell"/>
            </w:pPr>
            <w:r>
              <w:t xml:space="preserve">The official completion route describes joint/relevant-authority review and lists preliminary handover, Barjeel green-building evidence and Civil Defence achievement certification for defined building types. </w:t>
            </w:r>
            <w:hyperlink w:history="1" r:id="rIdcsdf-xioxt_wvza7bcpwq">
              <w:r>
                <w:rPr>
                  <w:rStyle w:val="MdLink"/>
                </w:rPr>
                <w:t xml:space="preserve">7</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Fujairah</w:t>
            </w:r>
          </w:p>
        </w:tc>
        <w:tc>
          <w:tcPr>
            <w:tcMar>
              <w:top w:type="dxa" w:w="80"/>
              <w:left w:type="dxa" w:w="120"/>
              <w:bottom w:type="dxa" w:w="80"/>
              <w:right w:type="dxa" w:w="120"/>
            </w:tcMar>
            <w:vAlign w:val="center"/>
          </w:tcPr>
          <w:p>
            <w:pPr>
              <w:pStyle w:val="MdTableCell"/>
            </w:pPr>
            <w:r>
              <w:t xml:space="preserve">Fujairah Municipality; Civil Defence and utility interfaces as applicable</w:t>
            </w:r>
          </w:p>
        </w:tc>
        <w:tc>
          <w:tcPr>
            <w:tcMar>
              <w:top w:type="dxa" w:w="80"/>
              <w:left w:type="dxa" w:w="120"/>
              <w:bottom w:type="dxa" w:w="80"/>
              <w:right w:type="dxa" w:w="120"/>
            </w:tcMar>
            <w:vAlign w:val="center"/>
          </w:tcPr>
          <w:p>
            <w:pPr>
              <w:pStyle w:val="MdTableCell"/>
            </w:pPr>
            <w:r>
              <w:t xml:space="preserve">Roads/public works, telecoms, port/coastal or environmental conditions and client/developer requirements</w:t>
            </w:r>
          </w:p>
        </w:tc>
        <w:tc>
          <w:tcPr>
            <w:tcMar>
              <w:top w:type="dxa" w:w="80"/>
              <w:left w:type="dxa" w:w="120"/>
              <w:bottom w:type="dxa" w:w="80"/>
              <w:right w:type="dxa" w:w="120"/>
            </w:tcMar>
            <w:vAlign w:val="center"/>
          </w:tcPr>
          <w:p>
            <w:pPr>
              <w:pStyle w:val="MdTableCell"/>
            </w:pPr>
            <w:r>
              <w:t xml:space="preserve">Confirm Fujairah Free Zone, Port of Fujairah or another master developer before setting the permit path</w:t>
            </w:r>
          </w:p>
        </w:tc>
        <w:tc>
          <w:tcPr>
            <w:tcBorders>
              <w:right w:val="none"/>
            </w:tcBorders>
            <w:tcMar>
              <w:top w:type="dxa" w:w="80"/>
              <w:left w:type="dxa" w:w="120"/>
              <w:bottom w:type="dxa" w:w="80"/>
              <w:right w:type="dxa" w:w="120"/>
            </w:tcMar>
            <w:vAlign w:val="center"/>
          </w:tcPr>
          <w:p>
            <w:pPr>
              <w:pStyle w:val="MdTableCell"/>
            </w:pPr>
            <w:r>
              <w:t xml:space="preserve">Use the municipality completion-certificate service as the authority source and require a named consultant/authority contact, because public requirements can be project-specific. </w:t>
            </w:r>
            <w:hyperlink w:history="1" r:id="rId83dsjqdhu7rkobppzhz8s">
              <w:r>
                <w:rPr>
                  <w:rStyle w:val="MdLink"/>
                </w:rPr>
                <w:t xml:space="preserve">1</w:t>
              </w:r>
            </w:hyperlink>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Umm Al Quwain</w:t>
            </w:r>
          </w:p>
        </w:tc>
        <w:tc>
          <w:tcPr>
            <w:tcBorders>
              <w:bottom w:val="single" w:color="E1E4E8" w:sz="4"/>
            </w:tcBorders>
            <w:tcMar>
              <w:top w:type="dxa" w:w="80"/>
              <w:left w:type="dxa" w:w="120"/>
              <w:bottom w:type="dxa" w:w="80"/>
              <w:right w:type="dxa" w:w="120"/>
            </w:tcMar>
            <w:vAlign w:val="center"/>
          </w:tcPr>
          <w:p>
            <w:pPr>
              <w:pStyle w:val="MdTableCell"/>
            </w:pPr>
            <w:r>
              <w:t xml:space="preserve">Umm Al Quwain Municipality; Civil Defence and utility interfaces as applicable</w:t>
            </w:r>
          </w:p>
        </w:tc>
        <w:tc>
          <w:tcPr>
            <w:tcBorders>
              <w:bottom w:val="single" w:color="E1E4E8" w:sz="4"/>
            </w:tcBorders>
            <w:tcMar>
              <w:top w:type="dxa" w:w="80"/>
              <w:left w:type="dxa" w:w="120"/>
              <w:bottom w:type="dxa" w:w="80"/>
              <w:right w:type="dxa" w:w="120"/>
            </w:tcMar>
            <w:vAlign w:val="center"/>
          </w:tcPr>
          <w:p>
            <w:pPr>
              <w:pStyle w:val="MdTableCell"/>
            </w:pPr>
            <w:r>
              <w:t xml:space="preserve">Telecoms, road/infrastructure and client/developer requirements</w:t>
            </w:r>
          </w:p>
        </w:tc>
        <w:tc>
          <w:tcPr>
            <w:tcBorders>
              <w:bottom w:val="single" w:color="E1E4E8" w:sz="4"/>
            </w:tcBorders>
            <w:tcMar>
              <w:top w:type="dxa" w:w="80"/>
              <w:left w:type="dxa" w:w="120"/>
              <w:bottom w:type="dxa" w:w="80"/>
              <w:right w:type="dxa" w:w="120"/>
            </w:tcMar>
            <w:vAlign w:val="center"/>
          </w:tcPr>
          <w:p>
            <w:pPr>
              <w:pStyle w:val="MdTableCell"/>
            </w:pPr>
            <w:r>
              <w:t xml:space="preserve">Confirm UAQ Free Trade Zone or other master-developer procedure; UAQFTZ describes itself as a government-operated free zone offering warehouses and land for development. </w:t>
            </w:r>
            <w:hyperlink w:history="1" r:id="rId1b5zyyl_9czmbz_3aplbn">
              <w:r>
                <w:rPr>
                  <w:rStyle w:val="MdLink"/>
                </w:rPr>
                <w:t xml:space="preserve">8</w:t>
              </w:r>
            </w:hyperlink>
          </w:p>
        </w:tc>
        <w:tc>
          <w:tcPr>
            <w:tcBorders>
              <w:bottom w:val="single" w:color="E1E4E8" w:sz="4"/>
              <w:right w:val="none"/>
            </w:tcBorders>
            <w:tcMar>
              <w:top w:type="dxa" w:w="80"/>
              <w:left w:type="dxa" w:w="120"/>
              <w:bottom w:type="dxa" w:w="80"/>
              <w:right w:type="dxa" w:w="120"/>
            </w:tcMar>
            <w:vAlign w:val="center"/>
          </w:tcPr>
          <w:p>
            <w:pPr>
              <w:pStyle w:val="MdTableCell"/>
            </w:pPr>
            <w:r>
              <w:t xml:space="preserve">Use the official UAQ completion-certificate route, then add site-specific authority cards after the plot and development are confirmed. </w:t>
            </w:r>
            <w:hyperlink w:history="1" r:id="rIdau1vpdidiseldxqlorajb">
              <w:r>
                <w:rPr>
                  <w:rStyle w:val="MdLink"/>
                </w:rPr>
                <w:t xml:space="preserve">1</w:t>
              </w:r>
            </w:hyperlink>
          </w:p>
        </w:tc>
      </w:tr>
    </w:tbl>
    <w:p>
      <w:pPr>
        <w:pStyle w:val="Heading3"/>
        <w:pStyle w:val="MdHeading3"/>
      </w:pPr>
      <w:r>
        <w:t xml:space="preserve">Dubai-specific correction that the page should make explicit</w:t>
      </w:r>
    </w:p>
    <w:p>
      <w:pPr>
        <w:pStyle w:val="MdParagraph"/>
      </w:pPr>
      <w:r>
        <w:t xml:space="preserve">The page should not state or imply that </w:t>
      </w:r>
      <w:r>
        <w:rPr>
          <w:rStyle w:val="MdStrong"/>
          <w:b/>
          <w:bCs/>
        </w:rPr>
        <w:t xml:space="preserve">Trakhees controls all of Dubai</w:t>
      </w:r>
      <w:r>
        <w:t xml:space="preserve">. Trakhees/PCFC and DDA pathways are </w:t>
      </w:r>
      <w:r>
        <w:rPr>
          <w:rStyle w:val="MdStrong"/>
          <w:b/>
          <w:bCs/>
        </w:rPr>
        <w:t xml:space="preserve">zone-dependent</w:t>
      </w:r>
      <w:r>
        <w:t xml:space="preserve">. For example, DDA publishes a Mobilization Permit that allows a contractor to transfer physical and manpower resources to site; it requires preliminary design approval, an appointment letter and a building-permit application, indicates a two-working-day delivery target and notes six-month permit validity. </w:t>
      </w:r>
      <w:hyperlink w:history="1" r:id="rId8oumyi5-4nu1mjqaolfgd">
        <w:r>
          <w:rPr>
            <w:rStyle w:val="MdLink"/>
          </w:rPr>
          <w:t xml:space="preserve">2</w:t>
        </w:r>
      </w:hyperlink>
      <w:r>
        <w:t xml:space="preserve"> The tool should therefore ask </w:t>
      </w:r>
      <w:r>
        <w:rPr>
          <w:rStyle w:val="MdStrong"/>
          <w:b/>
          <w:bCs/>
        </w:rPr>
        <w:t xml:space="preserve">“Which zone/master developer controls the plot?”</w:t>
      </w:r>
      <w:r>
        <w:t xml:space="preserve"> before showing a Trakhees/DDA checklist.</w:t>
      </w:r>
    </w:p>
    <w:p>
      <w:pPr>
        <w:pStyle w:val="MdSpace"/>
        <w:spacing w:before="0" w:after="60"/>
      </w:pPr>
    </w:p>
    <w:p>
      <w:pPr>
        <w:pStyle w:val="Heading2"/>
        <w:pStyle w:val="MdHeading2"/>
      </w:pPr>
      <w:r>
        <w:t xml:space="preserve">3. Mobilisation checklist content</w:t>
      </w:r>
    </w:p>
    <w:p>
      <w:pPr>
        <w:pStyle w:val="MdParagraph"/>
      </w:pPr>
      <w:r>
        <w:t xml:space="preserve">The following is suitable for a screen-based checklist. Every row should support </w:t>
      </w:r>
      <w:r>
        <w:rPr>
          <w:rStyle w:val="MdStrong"/>
          <w:b/>
          <w:bCs/>
        </w:rPr>
        <w:t xml:space="preserve">Complete</w:t>
      </w:r>
      <w:r>
        <w:t xml:space="preserve">, </w:t>
      </w:r>
      <w:r>
        <w:rPr>
          <w:rStyle w:val="MdStrong"/>
          <w:b/>
          <w:bCs/>
        </w:rPr>
        <w:t xml:space="preserve">Not Applicable</w:t>
      </w:r>
      <w:r>
        <w:t xml:space="preserve">, </w:t>
      </w:r>
      <w:r>
        <w:rPr>
          <w:rStyle w:val="MdStrong"/>
          <w:b/>
          <w:bCs/>
        </w:rPr>
        <w:t xml:space="preserve">Remove with Reason</w:t>
      </w:r>
      <w:r>
        <w:t xml:space="preserve">, </w:t>
      </w:r>
      <w:r>
        <w:rPr>
          <w:rStyle w:val="MdStrong"/>
          <w:b/>
          <w:bCs/>
        </w:rPr>
        <w:t xml:space="preserve">Owner</w:t>
      </w:r>
      <w:r>
        <w:t xml:space="preserve">, </w:t>
      </w:r>
      <w:r>
        <w:rPr>
          <w:rStyle w:val="MdStrong"/>
          <w:b/>
          <w:bCs/>
        </w:rPr>
        <w:t xml:space="preserve">Target Date</w:t>
      </w:r>
      <w:r>
        <w:t xml:space="preserve">, </w:t>
      </w:r>
      <w:r>
        <w:rPr>
          <w:rStyle w:val="MdStrong"/>
          <w:b/>
          <w:bCs/>
        </w:rPr>
        <w:t xml:space="preserve">Evidence Link</w:t>
      </w:r>
      <w:r>
        <w:t xml:space="preserve">, </w:t>
      </w:r>
      <w:r>
        <w:rPr>
          <w:rStyle w:val="MdStrong"/>
          <w:b/>
          <w:bCs/>
        </w:rPr>
        <w:t xml:space="preserve">Authority/Client Reference</w:t>
      </w:r>
      <w:r>
        <w:t xml:space="preserve">, </w:t>
      </w:r>
      <w:r>
        <w:rPr>
          <w:rStyle w:val="MdStrong"/>
          <w:b/>
          <w:bCs/>
        </w:rPr>
        <w:t xml:space="preserve">Expiry Date</w:t>
      </w:r>
      <w:r>
        <w:t xml:space="preserve"> and </w:t>
      </w:r>
      <w:r>
        <w:rPr>
          <w:rStyle w:val="MdStrong"/>
          <w:b/>
          <w:bCs/>
        </w:rPr>
        <w:t xml:space="preserve">Escalate</w:t>
      </w:r>
      <w:r>
        <w:t xml:space="preserve">.</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ID</w:t>
            </w:r>
          </w:p>
        </w:tc>
        <w:tc>
          <w:tcPr>
            <w:tcMar>
              <w:top w:type="dxa" w:w="100"/>
              <w:left w:type="dxa" w:w="120"/>
              <w:bottom w:type="dxa" w:w="100"/>
              <w:right w:type="dxa" w:w="120"/>
            </w:tcMar>
            <w:vAlign w:val="center"/>
          </w:tcPr>
          <w:p>
            <w:pPr>
              <w:pStyle w:val="MdTableHeader"/>
            </w:pPr>
            <w:r>
              <w:t xml:space="preserve">Mobilisation check</w:t>
            </w:r>
          </w:p>
        </w:tc>
        <w:tc>
          <w:tcPr>
            <w:tcMar>
              <w:top w:type="dxa" w:w="100"/>
              <w:left w:type="dxa" w:w="120"/>
              <w:bottom w:type="dxa" w:w="100"/>
              <w:right w:type="dxa" w:w="120"/>
            </w:tcMar>
            <w:vAlign w:val="center"/>
          </w:tcPr>
          <w:p>
            <w:pPr>
              <w:pStyle w:val="MdTableHeader"/>
            </w:pPr>
            <w:r>
              <w:t xml:space="preserve">When it should be complete</w:t>
            </w:r>
          </w:p>
        </w:tc>
        <w:tc>
          <w:tcPr>
            <w:tcMar>
              <w:top w:type="dxa" w:w="100"/>
              <w:left w:type="dxa" w:w="120"/>
              <w:bottom w:type="dxa" w:w="100"/>
              <w:right w:type="dxa" w:w="120"/>
            </w:tcMar>
            <w:vAlign w:val="center"/>
          </w:tcPr>
          <w:p>
            <w:pPr>
              <w:pStyle w:val="MdTableHeader"/>
            </w:pPr>
            <w:r>
              <w:t xml:space="preserve">Typical owner</w:t>
            </w:r>
          </w:p>
        </w:tc>
        <w:tc>
          <w:tcPr>
            <w:tcBorders>
              <w:right w:val="none"/>
            </w:tcBorders>
            <w:tcMar>
              <w:top w:type="dxa" w:w="100"/>
              <w:left w:type="dxa" w:w="120"/>
              <w:bottom w:type="dxa" w:w="100"/>
              <w:right w:type="dxa" w:w="120"/>
            </w:tcMar>
            <w:vAlign w:val="center"/>
          </w:tcPr>
          <w:p>
            <w:pPr>
              <w:pStyle w:val="MdTableHeader"/>
            </w:pPr>
            <w:r>
              <w:t xml:space="preserve">What the client/management should expect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M-01</w:t>
            </w:r>
          </w:p>
        </w:tc>
        <w:tc>
          <w:tcPr>
            <w:tcMar>
              <w:top w:type="dxa" w:w="80"/>
              <w:left w:type="dxa" w:w="120"/>
              <w:bottom w:type="dxa" w:w="80"/>
              <w:right w:type="dxa" w:w="120"/>
            </w:tcMar>
            <w:vAlign w:val="center"/>
          </w:tcPr>
          <w:p>
            <w:pPr>
              <w:pStyle w:val="MdTableCell"/>
            </w:pPr>
            <w:r>
              <w:t xml:space="preserve">Confirm plot, emirate, mainland/free-zone/master-developer jurisdiction</w:t>
            </w:r>
          </w:p>
        </w:tc>
        <w:tc>
          <w:tcPr>
            <w:tcMar>
              <w:top w:type="dxa" w:w="80"/>
              <w:left w:type="dxa" w:w="120"/>
              <w:bottom w:type="dxa" w:w="80"/>
              <w:right w:type="dxa" w:w="120"/>
            </w:tcMar>
            <w:vAlign w:val="center"/>
          </w:tcPr>
          <w:p>
            <w:pPr>
              <w:pStyle w:val="MdTableCell"/>
            </w:pPr>
            <w:r>
              <w:t xml:space="preserve">Before programme baseline</w:t>
            </w:r>
          </w:p>
        </w:tc>
        <w:tc>
          <w:tcPr>
            <w:tcMar>
              <w:top w:type="dxa" w:w="80"/>
              <w:left w:type="dxa" w:w="120"/>
              <w:bottom w:type="dxa" w:w="80"/>
              <w:right w:type="dxa" w:w="120"/>
            </w:tcMar>
            <w:vAlign w:val="center"/>
          </w:tcPr>
          <w:p>
            <w:pPr>
              <w:pStyle w:val="MdTableCell"/>
            </w:pPr>
            <w:r>
              <w:t xml:space="preserve">Client + consultant</w:t>
            </w:r>
          </w:p>
        </w:tc>
        <w:tc>
          <w:tcPr>
            <w:tcBorders>
              <w:right w:val="none"/>
            </w:tcBorders>
            <w:tcMar>
              <w:top w:type="dxa" w:w="80"/>
              <w:left w:type="dxa" w:w="120"/>
              <w:bottom w:type="dxa" w:w="80"/>
              <w:right w:type="dxa" w:w="120"/>
            </w:tcMar>
            <w:vAlign w:val="center"/>
          </w:tcPr>
          <w:p>
            <w:pPr>
              <w:pStyle w:val="MdTableCell"/>
            </w:pPr>
            <w:r>
              <w:t xml:space="preserve">Written confirmation of the controlling authority path and developer requirements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M-02</w:t>
            </w:r>
          </w:p>
        </w:tc>
        <w:tc>
          <w:tcPr>
            <w:tcMar>
              <w:top w:type="dxa" w:w="80"/>
              <w:left w:type="dxa" w:w="120"/>
              <w:bottom w:type="dxa" w:w="80"/>
              <w:right w:type="dxa" w:w="120"/>
            </w:tcMar>
            <w:vAlign w:val="center"/>
          </w:tcPr>
          <w:p>
            <w:pPr>
              <w:pStyle w:val="MdTableCell"/>
            </w:pPr>
            <w:r>
              <w:t xml:space="preserve">Appoint consultant and confirm contractor/subcontractor registrations</w:t>
            </w:r>
          </w:p>
        </w:tc>
        <w:tc>
          <w:tcPr>
            <w:tcMar>
              <w:top w:type="dxa" w:w="80"/>
              <w:left w:type="dxa" w:w="120"/>
              <w:bottom w:type="dxa" w:w="80"/>
              <w:right w:type="dxa" w:w="120"/>
            </w:tcMar>
            <w:vAlign w:val="center"/>
          </w:tcPr>
          <w:p>
            <w:pPr>
              <w:pStyle w:val="MdTableCell"/>
            </w:pPr>
            <w:r>
              <w:t xml:space="preserve">Before permit package</w:t>
            </w:r>
          </w:p>
        </w:tc>
        <w:tc>
          <w:tcPr>
            <w:tcMar>
              <w:top w:type="dxa" w:w="80"/>
              <w:left w:type="dxa" w:w="120"/>
              <w:bottom w:type="dxa" w:w="80"/>
              <w:right w:type="dxa" w:w="120"/>
            </w:tcMar>
            <w:vAlign w:val="center"/>
          </w:tcPr>
          <w:p>
            <w:pPr>
              <w:pStyle w:val="MdTableCell"/>
            </w:pPr>
            <w:r>
              <w:t xml:space="preserve">Client + consultant</w:t>
            </w:r>
          </w:p>
        </w:tc>
        <w:tc>
          <w:tcPr>
            <w:tcBorders>
              <w:right w:val="none"/>
            </w:tcBorders>
            <w:tcMar>
              <w:top w:type="dxa" w:w="80"/>
              <w:left w:type="dxa" w:w="120"/>
              <w:bottom w:type="dxa" w:w="80"/>
              <w:right w:type="dxa" w:w="120"/>
            </w:tcMar>
            <w:vAlign w:val="center"/>
          </w:tcPr>
          <w:p>
            <w:pPr>
              <w:pStyle w:val="MdTableCell"/>
            </w:pPr>
            <w:r>
              <w:t xml:space="preserve">Valid appointment, licence and scope responsibility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M-03</w:t>
            </w:r>
          </w:p>
        </w:tc>
        <w:tc>
          <w:tcPr>
            <w:tcMar>
              <w:top w:type="dxa" w:w="80"/>
              <w:left w:type="dxa" w:w="120"/>
              <w:bottom w:type="dxa" w:w="80"/>
              <w:right w:type="dxa" w:w="120"/>
            </w:tcMar>
            <w:vAlign w:val="center"/>
          </w:tcPr>
          <w:p>
            <w:pPr>
              <w:pStyle w:val="MdTableCell"/>
            </w:pPr>
            <w:r>
              <w:t xml:space="preserve">Create authority register and document-submission schedule</w:t>
            </w:r>
          </w:p>
        </w:tc>
        <w:tc>
          <w:tcPr>
            <w:tcMar>
              <w:top w:type="dxa" w:w="80"/>
              <w:left w:type="dxa" w:w="120"/>
              <w:bottom w:type="dxa" w:w="80"/>
              <w:right w:type="dxa" w:w="120"/>
            </w:tcMar>
            <w:vAlign w:val="center"/>
          </w:tcPr>
          <w:p>
            <w:pPr>
              <w:pStyle w:val="MdTableCell"/>
            </w:pPr>
            <w:r>
              <w:t xml:space="preserve">Before first submission</w:t>
            </w:r>
          </w:p>
        </w:tc>
        <w:tc>
          <w:tcPr>
            <w:tcMar>
              <w:top w:type="dxa" w:w="80"/>
              <w:left w:type="dxa" w:w="120"/>
              <w:bottom w:type="dxa" w:w="80"/>
              <w:right w:type="dxa" w:w="120"/>
            </w:tcMar>
            <w:vAlign w:val="center"/>
          </w:tcPr>
          <w:p>
            <w:pPr>
              <w:pStyle w:val="MdTableCell"/>
            </w:pPr>
            <w:r>
              <w:t xml:space="preserve">Document controller</w:t>
            </w:r>
          </w:p>
        </w:tc>
        <w:tc>
          <w:tcPr>
            <w:tcBorders>
              <w:right w:val="none"/>
            </w:tcBorders>
            <w:tcMar>
              <w:top w:type="dxa" w:w="80"/>
              <w:left w:type="dxa" w:w="120"/>
              <w:bottom w:type="dxa" w:w="80"/>
              <w:right w:type="dxa" w:w="120"/>
            </w:tcMar>
            <w:vAlign w:val="center"/>
          </w:tcPr>
          <w:p>
            <w:pPr>
              <w:pStyle w:val="MdTableCell"/>
            </w:pPr>
            <w:r>
              <w:t xml:space="preserve">One view of authority, gate, owner, document, target and status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M-04</w:t>
            </w:r>
          </w:p>
        </w:tc>
        <w:tc>
          <w:tcPr>
            <w:tcMar>
              <w:top w:type="dxa" w:w="80"/>
              <w:left w:type="dxa" w:w="120"/>
              <w:bottom w:type="dxa" w:w="80"/>
              <w:right w:type="dxa" w:w="120"/>
            </w:tcMar>
            <w:vAlign w:val="center"/>
          </w:tcPr>
          <w:p>
            <w:pPr>
              <w:pStyle w:val="MdTableCell"/>
            </w:pPr>
            <w:r>
              <w:t xml:space="preserve">Validate building permit / enabling-work permit status</w:t>
            </w:r>
          </w:p>
        </w:tc>
        <w:tc>
          <w:tcPr>
            <w:tcMar>
              <w:top w:type="dxa" w:w="80"/>
              <w:left w:type="dxa" w:w="120"/>
              <w:bottom w:type="dxa" w:w="80"/>
              <w:right w:type="dxa" w:w="120"/>
            </w:tcMar>
            <w:vAlign w:val="center"/>
          </w:tcPr>
          <w:p>
            <w:pPr>
              <w:pStyle w:val="MdTableCell"/>
            </w:pPr>
            <w:r>
              <w:t xml:space="preserve">Before physical works</w:t>
            </w:r>
          </w:p>
        </w:tc>
        <w:tc>
          <w:tcPr>
            <w:tcMar>
              <w:top w:type="dxa" w:w="80"/>
              <w:left w:type="dxa" w:w="120"/>
              <w:bottom w:type="dxa" w:w="80"/>
              <w:right w:type="dxa" w:w="120"/>
            </w:tcMar>
            <w:vAlign w:val="center"/>
          </w:tcPr>
          <w:p>
            <w:pPr>
              <w:pStyle w:val="MdTableCell"/>
            </w:pPr>
            <w:r>
              <w:t xml:space="preserve">Consultant + contractor</w:t>
            </w:r>
          </w:p>
        </w:tc>
        <w:tc>
          <w:tcPr>
            <w:tcBorders>
              <w:right w:val="none"/>
            </w:tcBorders>
            <w:tcMar>
              <w:top w:type="dxa" w:w="80"/>
              <w:left w:type="dxa" w:w="120"/>
              <w:bottom w:type="dxa" w:w="80"/>
              <w:right w:type="dxa" w:w="120"/>
            </w:tcMar>
            <w:vAlign w:val="center"/>
          </w:tcPr>
          <w:p>
            <w:pPr>
              <w:pStyle w:val="MdTableCell"/>
            </w:pPr>
            <w:r>
              <w:t xml:space="preserve">Permit reference, conditions and approved drawing list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M-05</w:t>
            </w:r>
          </w:p>
        </w:tc>
        <w:tc>
          <w:tcPr>
            <w:tcMar>
              <w:top w:type="dxa" w:w="80"/>
              <w:left w:type="dxa" w:w="120"/>
              <w:bottom w:type="dxa" w:w="80"/>
              <w:right w:type="dxa" w:w="120"/>
            </w:tcMar>
            <w:vAlign w:val="center"/>
          </w:tcPr>
          <w:p>
            <w:pPr>
              <w:pStyle w:val="MdTableCell"/>
            </w:pPr>
            <w:r>
              <w:t xml:space="preserve">Confirm site possession, access rights and landlord/developer conditions</w:t>
            </w:r>
          </w:p>
        </w:tc>
        <w:tc>
          <w:tcPr>
            <w:tcMar>
              <w:top w:type="dxa" w:w="80"/>
              <w:left w:type="dxa" w:w="120"/>
              <w:bottom w:type="dxa" w:w="80"/>
              <w:right w:type="dxa" w:w="120"/>
            </w:tcMar>
            <w:vAlign w:val="center"/>
          </w:tcPr>
          <w:p>
            <w:pPr>
              <w:pStyle w:val="MdTableCell"/>
            </w:pPr>
            <w:r>
              <w:t xml:space="preserve">Before delivery of resources</w:t>
            </w:r>
          </w:p>
        </w:tc>
        <w:tc>
          <w:tcPr>
            <w:tcMar>
              <w:top w:type="dxa" w:w="80"/>
              <w:left w:type="dxa" w:w="120"/>
              <w:bottom w:type="dxa" w:w="80"/>
              <w:right w:type="dxa" w:w="120"/>
            </w:tcMar>
            <w:vAlign w:val="center"/>
          </w:tcPr>
          <w:p>
            <w:pPr>
              <w:pStyle w:val="MdTableCell"/>
            </w:pPr>
            <w:r>
              <w:t xml:space="preserve">Client + contractor</w:t>
            </w:r>
          </w:p>
        </w:tc>
        <w:tc>
          <w:tcPr>
            <w:tcBorders>
              <w:right w:val="none"/>
            </w:tcBorders>
            <w:tcMar>
              <w:top w:type="dxa" w:w="80"/>
              <w:left w:type="dxa" w:w="120"/>
              <w:bottom w:type="dxa" w:w="80"/>
              <w:right w:type="dxa" w:w="120"/>
            </w:tcMar>
            <w:vAlign w:val="center"/>
          </w:tcPr>
          <w:p>
            <w:pPr>
              <w:pStyle w:val="MdTableCell"/>
            </w:pPr>
            <w:r>
              <w:t xml:space="preserve">Approved access, delivery windows, site rules and security requirements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M-06</w:t>
            </w:r>
          </w:p>
        </w:tc>
        <w:tc>
          <w:tcPr>
            <w:tcMar>
              <w:top w:type="dxa" w:w="80"/>
              <w:left w:type="dxa" w:w="120"/>
              <w:bottom w:type="dxa" w:w="80"/>
              <w:right w:type="dxa" w:w="120"/>
            </w:tcMar>
            <w:vAlign w:val="center"/>
          </w:tcPr>
          <w:p>
            <w:pPr>
              <w:pStyle w:val="MdTableCell"/>
            </w:pPr>
            <w:r>
              <w:t xml:space="preserve">Obtain or confirm mobilisation, hoarding, signboard, temporary works and excavation approvals where required</w:t>
            </w:r>
          </w:p>
        </w:tc>
        <w:tc>
          <w:tcPr>
            <w:tcMar>
              <w:top w:type="dxa" w:w="80"/>
              <w:left w:type="dxa" w:w="120"/>
              <w:bottom w:type="dxa" w:w="80"/>
              <w:right w:type="dxa" w:w="120"/>
            </w:tcMar>
            <w:vAlign w:val="center"/>
          </w:tcPr>
          <w:p>
            <w:pPr>
              <w:pStyle w:val="MdTableCell"/>
            </w:pPr>
            <w:r>
              <w:t xml:space="preserve">Before setup/ground disturbance</w:t>
            </w:r>
          </w:p>
        </w:tc>
        <w:tc>
          <w:tcPr>
            <w:tcMar>
              <w:top w:type="dxa" w:w="80"/>
              <w:left w:type="dxa" w:w="120"/>
              <w:bottom w:type="dxa" w:w="80"/>
              <w:right w:type="dxa" w:w="120"/>
            </w:tcMar>
            <w:vAlign w:val="center"/>
          </w:tcPr>
          <w:p>
            <w:pPr>
              <w:pStyle w:val="MdTableCell"/>
            </w:pPr>
            <w:r>
              <w:t xml:space="preserve">Contractor + consultant</w:t>
            </w:r>
          </w:p>
        </w:tc>
        <w:tc>
          <w:tcPr>
            <w:tcBorders>
              <w:right w:val="none"/>
            </w:tcBorders>
            <w:tcMar>
              <w:top w:type="dxa" w:w="80"/>
              <w:left w:type="dxa" w:w="120"/>
              <w:bottom w:type="dxa" w:w="80"/>
              <w:right w:type="dxa" w:w="120"/>
            </w:tcMar>
            <w:vAlign w:val="center"/>
          </w:tcPr>
          <w:p>
            <w:pPr>
              <w:pStyle w:val="MdTableCell"/>
            </w:pPr>
            <w:r>
              <w:t xml:space="preserve">Proof that temporary site works are authorised; exact requirement depends on jurisdiction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M-07</w:t>
            </w:r>
          </w:p>
        </w:tc>
        <w:tc>
          <w:tcPr>
            <w:tcMar>
              <w:top w:type="dxa" w:w="80"/>
              <w:left w:type="dxa" w:w="120"/>
              <w:bottom w:type="dxa" w:w="80"/>
              <w:right w:type="dxa" w:w="120"/>
            </w:tcMar>
            <w:vAlign w:val="center"/>
          </w:tcPr>
          <w:p>
            <w:pPr>
              <w:pStyle w:val="MdTableCell"/>
            </w:pPr>
            <w:r>
              <w:t xml:space="preserve">Complete authority/fire/utility/road/telecom NOC review</w:t>
            </w:r>
          </w:p>
        </w:tc>
        <w:tc>
          <w:tcPr>
            <w:tcMar>
              <w:top w:type="dxa" w:w="80"/>
              <w:left w:type="dxa" w:w="120"/>
              <w:bottom w:type="dxa" w:w="80"/>
              <w:right w:type="dxa" w:w="120"/>
            </w:tcMar>
            <w:vAlign w:val="center"/>
          </w:tcPr>
          <w:p>
            <w:pPr>
              <w:pStyle w:val="MdTableCell"/>
            </w:pPr>
            <w:r>
              <w:t xml:space="preserve">Before the related works</w:t>
            </w:r>
          </w:p>
        </w:tc>
        <w:tc>
          <w:tcPr>
            <w:tcMar>
              <w:top w:type="dxa" w:w="80"/>
              <w:left w:type="dxa" w:w="120"/>
              <w:bottom w:type="dxa" w:w="80"/>
              <w:right w:type="dxa" w:w="120"/>
            </w:tcMar>
            <w:vAlign w:val="center"/>
          </w:tcPr>
          <w:p>
            <w:pPr>
              <w:pStyle w:val="MdTableCell"/>
            </w:pPr>
            <w:r>
              <w:t xml:space="preserve">Consultant + utility coordinator</w:t>
            </w:r>
          </w:p>
        </w:tc>
        <w:tc>
          <w:tcPr>
            <w:tcBorders>
              <w:right w:val="none"/>
            </w:tcBorders>
            <w:tcMar>
              <w:top w:type="dxa" w:w="80"/>
              <w:left w:type="dxa" w:w="120"/>
              <w:bottom w:type="dxa" w:w="80"/>
              <w:right w:type="dxa" w:w="120"/>
            </w:tcMar>
            <w:vAlign w:val="center"/>
          </w:tcPr>
          <w:p>
            <w:pPr>
              <w:pStyle w:val="MdTableCell"/>
            </w:pPr>
            <w:r>
              <w:t xml:space="preserve">Clear list of pending NOCs, dependencies and no-go work fronts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M-08</w:t>
            </w:r>
          </w:p>
        </w:tc>
        <w:tc>
          <w:tcPr>
            <w:tcMar>
              <w:top w:type="dxa" w:w="80"/>
              <w:left w:type="dxa" w:w="120"/>
              <w:bottom w:type="dxa" w:w="80"/>
              <w:right w:type="dxa" w:w="120"/>
            </w:tcMar>
            <w:vAlign w:val="center"/>
          </w:tcPr>
          <w:p>
            <w:pPr>
              <w:pStyle w:val="MdTableCell"/>
            </w:pPr>
            <w:r>
              <w:t xml:space="preserve">Issue approved construction drawings and controlled document register</w:t>
            </w:r>
          </w:p>
        </w:tc>
        <w:tc>
          <w:tcPr>
            <w:tcMar>
              <w:top w:type="dxa" w:w="80"/>
              <w:left w:type="dxa" w:w="120"/>
              <w:bottom w:type="dxa" w:w="80"/>
              <w:right w:type="dxa" w:w="120"/>
            </w:tcMar>
            <w:vAlign w:val="center"/>
          </w:tcPr>
          <w:p>
            <w:pPr>
              <w:pStyle w:val="MdTableCell"/>
            </w:pPr>
            <w:r>
              <w:t xml:space="preserve">Before site execution</w:t>
            </w:r>
          </w:p>
        </w:tc>
        <w:tc>
          <w:tcPr>
            <w:tcMar>
              <w:top w:type="dxa" w:w="80"/>
              <w:left w:type="dxa" w:w="120"/>
              <w:bottom w:type="dxa" w:w="80"/>
              <w:right w:type="dxa" w:w="120"/>
            </w:tcMar>
            <w:vAlign w:val="center"/>
          </w:tcPr>
          <w:p>
            <w:pPr>
              <w:pStyle w:val="MdTableCell"/>
            </w:pPr>
            <w:r>
              <w:t xml:space="preserve">Consultant + document controller</w:t>
            </w:r>
          </w:p>
        </w:tc>
        <w:tc>
          <w:tcPr>
            <w:tcBorders>
              <w:right w:val="none"/>
            </w:tcBorders>
            <w:tcMar>
              <w:top w:type="dxa" w:w="80"/>
              <w:left w:type="dxa" w:w="120"/>
              <w:bottom w:type="dxa" w:w="80"/>
              <w:right w:type="dxa" w:w="120"/>
            </w:tcMar>
            <w:vAlign w:val="center"/>
          </w:tcPr>
          <w:p>
            <w:pPr>
              <w:pStyle w:val="MdTableCell"/>
            </w:pPr>
            <w:r>
              <w:t xml:space="preserve">Only current approved drawings in use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M-09</w:t>
            </w:r>
          </w:p>
        </w:tc>
        <w:tc>
          <w:tcPr>
            <w:tcMar>
              <w:top w:type="dxa" w:w="80"/>
              <w:left w:type="dxa" w:w="120"/>
              <w:bottom w:type="dxa" w:w="80"/>
              <w:right w:type="dxa" w:w="120"/>
            </w:tcMar>
            <w:vAlign w:val="center"/>
          </w:tcPr>
          <w:p>
            <w:pPr>
              <w:pStyle w:val="MdTableCell"/>
            </w:pPr>
            <w:r>
              <w:t xml:space="preserve">Submit project HSE plan, emergency plan, risk register and site rules</w:t>
            </w:r>
          </w:p>
        </w:tc>
        <w:tc>
          <w:tcPr>
            <w:tcMar>
              <w:top w:type="dxa" w:w="80"/>
              <w:left w:type="dxa" w:w="120"/>
              <w:bottom w:type="dxa" w:w="80"/>
              <w:right w:type="dxa" w:w="120"/>
            </w:tcMar>
            <w:vAlign w:val="center"/>
          </w:tcPr>
          <w:p>
            <w:pPr>
              <w:pStyle w:val="MdTableCell"/>
            </w:pPr>
            <w:r>
              <w:t xml:space="preserve">Before workforce arrival</w:t>
            </w:r>
          </w:p>
        </w:tc>
        <w:tc>
          <w:tcPr>
            <w:tcMar>
              <w:top w:type="dxa" w:w="80"/>
              <w:left w:type="dxa" w:w="120"/>
              <w:bottom w:type="dxa" w:w="80"/>
              <w:right w:type="dxa" w:w="120"/>
            </w:tcMar>
            <w:vAlign w:val="center"/>
          </w:tcPr>
          <w:p>
            <w:pPr>
              <w:pStyle w:val="MdTableCell"/>
            </w:pPr>
            <w:r>
              <w:t xml:space="preserve">HSE manager</w:t>
            </w:r>
          </w:p>
        </w:tc>
        <w:tc>
          <w:tcPr>
            <w:tcBorders>
              <w:right w:val="none"/>
            </w:tcBorders>
            <w:tcMar>
              <w:top w:type="dxa" w:w="80"/>
              <w:left w:type="dxa" w:w="120"/>
              <w:bottom w:type="dxa" w:w="80"/>
              <w:right w:type="dxa" w:w="120"/>
            </w:tcMar>
            <w:vAlign w:val="center"/>
          </w:tcPr>
          <w:p>
            <w:pPr>
              <w:pStyle w:val="MdTableCell"/>
            </w:pPr>
            <w:r>
              <w:t xml:space="preserve">Client review where contractually required; emergency responsibilities clear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M-10</w:t>
            </w:r>
          </w:p>
        </w:tc>
        <w:tc>
          <w:tcPr>
            <w:tcMar>
              <w:top w:type="dxa" w:w="80"/>
              <w:left w:type="dxa" w:w="120"/>
              <w:bottom w:type="dxa" w:w="80"/>
              <w:right w:type="dxa" w:w="120"/>
            </w:tcMar>
            <w:vAlign w:val="center"/>
          </w:tcPr>
          <w:p>
            <w:pPr>
              <w:pStyle w:val="MdTableCell"/>
            </w:pPr>
            <w:r>
              <w:t xml:space="preserve">Approve site layout</w:t>
            </w:r>
          </w:p>
        </w:tc>
        <w:tc>
          <w:tcPr>
            <w:tcMar>
              <w:top w:type="dxa" w:w="80"/>
              <w:left w:type="dxa" w:w="120"/>
              <w:bottom w:type="dxa" w:w="80"/>
              <w:right w:type="dxa" w:w="120"/>
            </w:tcMar>
            <w:vAlign w:val="center"/>
          </w:tcPr>
          <w:p>
            <w:pPr>
              <w:pStyle w:val="MdTableCell"/>
            </w:pPr>
            <w:r>
              <w:t xml:space="preserve">Before site setup</w:t>
            </w:r>
          </w:p>
        </w:tc>
        <w:tc>
          <w:tcPr>
            <w:tcMar>
              <w:top w:type="dxa" w:w="80"/>
              <w:left w:type="dxa" w:w="120"/>
              <w:bottom w:type="dxa" w:w="80"/>
              <w:right w:type="dxa" w:w="120"/>
            </w:tcMar>
            <w:vAlign w:val="center"/>
          </w:tcPr>
          <w:p>
            <w:pPr>
              <w:pStyle w:val="MdTableCell"/>
            </w:pPr>
            <w:r>
              <w:t xml:space="preserve">Construction manager</w:t>
            </w:r>
          </w:p>
        </w:tc>
        <w:tc>
          <w:tcPr>
            <w:tcBorders>
              <w:right w:val="none"/>
            </w:tcBorders>
            <w:tcMar>
              <w:top w:type="dxa" w:w="80"/>
              <w:left w:type="dxa" w:w="120"/>
              <w:bottom w:type="dxa" w:w="80"/>
              <w:right w:type="dxa" w:w="120"/>
            </w:tcMar>
            <w:vAlign w:val="center"/>
          </w:tcPr>
          <w:p>
            <w:pPr>
              <w:pStyle w:val="MdTableCell"/>
            </w:pPr>
            <w:r>
              <w:t xml:space="preserve">Access/egress, pedestrian routes, welfare, storage, lifting zones, fire points and emergency access shown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M-11</w:t>
            </w:r>
          </w:p>
        </w:tc>
        <w:tc>
          <w:tcPr>
            <w:tcMar>
              <w:top w:type="dxa" w:w="80"/>
              <w:left w:type="dxa" w:w="120"/>
              <w:bottom w:type="dxa" w:w="80"/>
              <w:right w:type="dxa" w:w="120"/>
            </w:tcMar>
            <w:vAlign w:val="center"/>
          </w:tcPr>
          <w:p>
            <w:pPr>
              <w:pStyle w:val="MdTableCell"/>
            </w:pPr>
            <w:r>
              <w:t xml:space="preserve">Install compliant hoarding, signage, lighting and security controls</w:t>
            </w:r>
          </w:p>
        </w:tc>
        <w:tc>
          <w:tcPr>
            <w:tcMar>
              <w:top w:type="dxa" w:w="80"/>
              <w:left w:type="dxa" w:w="120"/>
              <w:bottom w:type="dxa" w:w="80"/>
              <w:right w:type="dxa" w:w="120"/>
            </w:tcMar>
            <w:vAlign w:val="center"/>
          </w:tcPr>
          <w:p>
            <w:pPr>
              <w:pStyle w:val="MdTableCell"/>
            </w:pPr>
            <w:r>
              <w:t xml:space="preserve">Before opening the workface</w:t>
            </w:r>
          </w:p>
        </w:tc>
        <w:tc>
          <w:tcPr>
            <w:tcMar>
              <w:top w:type="dxa" w:w="80"/>
              <w:left w:type="dxa" w:w="120"/>
              <w:bottom w:type="dxa" w:w="80"/>
              <w:right w:type="dxa" w:w="120"/>
            </w:tcMar>
            <w:vAlign w:val="center"/>
          </w:tcPr>
          <w:p>
            <w:pPr>
              <w:pStyle w:val="MdTableCell"/>
            </w:pPr>
            <w:r>
              <w:t xml:space="preserve">Contractor</w:t>
            </w:r>
          </w:p>
        </w:tc>
        <w:tc>
          <w:tcPr>
            <w:tcBorders>
              <w:right w:val="none"/>
            </w:tcBorders>
            <w:tcMar>
              <w:top w:type="dxa" w:w="80"/>
              <w:left w:type="dxa" w:w="120"/>
              <w:bottom w:type="dxa" w:w="80"/>
              <w:right w:type="dxa" w:w="120"/>
            </w:tcMar>
            <w:vAlign w:val="center"/>
          </w:tcPr>
          <w:p>
            <w:pPr>
              <w:pStyle w:val="MdTableCell"/>
            </w:pPr>
            <w:r>
              <w:t xml:space="preserve">Secure boundary, public protection and defined visitor control</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M-12</w:t>
            </w:r>
          </w:p>
        </w:tc>
        <w:tc>
          <w:tcPr>
            <w:tcMar>
              <w:top w:type="dxa" w:w="80"/>
              <w:left w:type="dxa" w:w="120"/>
              <w:bottom w:type="dxa" w:w="80"/>
              <w:right w:type="dxa" w:w="120"/>
            </w:tcMar>
            <w:vAlign w:val="center"/>
          </w:tcPr>
          <w:p>
            <w:pPr>
              <w:pStyle w:val="MdTableCell"/>
            </w:pPr>
            <w:r>
              <w:t xml:space="preserve">Establish welfare, drinking water, sanitation, rest and first-aid arrangements</w:t>
            </w:r>
          </w:p>
        </w:tc>
        <w:tc>
          <w:tcPr>
            <w:tcMar>
              <w:top w:type="dxa" w:w="80"/>
              <w:left w:type="dxa" w:w="120"/>
              <w:bottom w:type="dxa" w:w="80"/>
              <w:right w:type="dxa" w:w="120"/>
            </w:tcMar>
            <w:vAlign w:val="center"/>
          </w:tcPr>
          <w:p>
            <w:pPr>
              <w:pStyle w:val="MdTableCell"/>
            </w:pPr>
            <w:r>
              <w:t xml:space="preserve">Before workforce induction</w:t>
            </w:r>
          </w:p>
        </w:tc>
        <w:tc>
          <w:tcPr>
            <w:tcMar>
              <w:top w:type="dxa" w:w="80"/>
              <w:left w:type="dxa" w:w="120"/>
              <w:bottom w:type="dxa" w:w="80"/>
              <w:right w:type="dxa" w:w="120"/>
            </w:tcMar>
            <w:vAlign w:val="center"/>
          </w:tcPr>
          <w:p>
            <w:pPr>
              <w:pStyle w:val="MdTableCell"/>
            </w:pPr>
            <w:r>
              <w:t xml:space="preserve">Contractor + HSE manager</w:t>
            </w:r>
          </w:p>
        </w:tc>
        <w:tc>
          <w:tcPr>
            <w:tcBorders>
              <w:right w:val="none"/>
            </w:tcBorders>
            <w:tcMar>
              <w:top w:type="dxa" w:w="80"/>
              <w:left w:type="dxa" w:w="120"/>
              <w:bottom w:type="dxa" w:w="80"/>
              <w:right w:type="dxa" w:w="120"/>
            </w:tcMar>
            <w:vAlign w:val="center"/>
          </w:tcPr>
          <w:p>
            <w:pPr>
              <w:pStyle w:val="MdTableCell"/>
            </w:pPr>
            <w:r>
              <w:t xml:space="preserve">Welfare adequate for workforce size and climatic conditions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M-13</w:t>
            </w:r>
          </w:p>
        </w:tc>
        <w:tc>
          <w:tcPr>
            <w:tcMar>
              <w:top w:type="dxa" w:w="80"/>
              <w:left w:type="dxa" w:w="120"/>
              <w:bottom w:type="dxa" w:w="80"/>
              <w:right w:type="dxa" w:w="120"/>
            </w:tcMar>
            <w:vAlign w:val="center"/>
          </w:tcPr>
          <w:p>
            <w:pPr>
              <w:pStyle w:val="MdTableCell"/>
            </w:pPr>
            <w:r>
              <w:t xml:space="preserve">Verify temporary power, water, distribution boards, earthing and inspection records</w:t>
            </w:r>
          </w:p>
        </w:tc>
        <w:tc>
          <w:tcPr>
            <w:tcMar>
              <w:top w:type="dxa" w:w="80"/>
              <w:left w:type="dxa" w:w="120"/>
              <w:bottom w:type="dxa" w:w="80"/>
              <w:right w:type="dxa" w:w="120"/>
            </w:tcMar>
            <w:vAlign w:val="center"/>
          </w:tcPr>
          <w:p>
            <w:pPr>
              <w:pStyle w:val="MdTableCell"/>
            </w:pPr>
            <w:r>
              <w:t xml:space="preserve">Before energisation/use</w:t>
            </w:r>
          </w:p>
        </w:tc>
        <w:tc>
          <w:tcPr>
            <w:tcMar>
              <w:top w:type="dxa" w:w="80"/>
              <w:left w:type="dxa" w:w="120"/>
              <w:bottom w:type="dxa" w:w="80"/>
              <w:right w:type="dxa" w:w="120"/>
            </w:tcMar>
            <w:vAlign w:val="center"/>
          </w:tcPr>
          <w:p>
            <w:pPr>
              <w:pStyle w:val="MdTableCell"/>
            </w:pPr>
            <w:r>
              <w:t xml:space="preserve">MEP manager</w:t>
            </w:r>
          </w:p>
        </w:tc>
        <w:tc>
          <w:tcPr>
            <w:tcBorders>
              <w:right w:val="none"/>
            </w:tcBorders>
            <w:tcMar>
              <w:top w:type="dxa" w:w="80"/>
              <w:left w:type="dxa" w:w="120"/>
              <w:bottom w:type="dxa" w:w="80"/>
              <w:right w:type="dxa" w:w="120"/>
            </w:tcMar>
            <w:vAlign w:val="center"/>
          </w:tcPr>
          <w:p>
            <w:pPr>
              <w:pStyle w:val="MdTableCell"/>
            </w:pPr>
            <w:r>
              <w:t xml:space="preserve">Authorised temporary installation, test records and isolation arrangements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M-14</w:t>
            </w:r>
          </w:p>
        </w:tc>
        <w:tc>
          <w:tcPr>
            <w:tcMar>
              <w:top w:type="dxa" w:w="80"/>
              <w:left w:type="dxa" w:w="120"/>
              <w:bottom w:type="dxa" w:w="80"/>
              <w:right w:type="dxa" w:w="120"/>
            </w:tcMar>
            <w:vAlign w:val="center"/>
          </w:tcPr>
          <w:p>
            <w:pPr>
              <w:pStyle w:val="MdTableCell"/>
            </w:pPr>
            <w:r>
              <w:t xml:space="preserve">Establish fire points, emergency routes, muster area and emergency contacts</w:t>
            </w:r>
          </w:p>
        </w:tc>
        <w:tc>
          <w:tcPr>
            <w:tcMar>
              <w:top w:type="dxa" w:w="80"/>
              <w:left w:type="dxa" w:w="120"/>
              <w:bottom w:type="dxa" w:w="80"/>
              <w:right w:type="dxa" w:w="120"/>
            </w:tcMar>
            <w:vAlign w:val="center"/>
          </w:tcPr>
          <w:p>
            <w:pPr>
              <w:pStyle w:val="MdTableCell"/>
            </w:pPr>
            <w:r>
              <w:t xml:space="preserve">Before operational site opening</w:t>
            </w:r>
          </w:p>
        </w:tc>
        <w:tc>
          <w:tcPr>
            <w:tcMar>
              <w:top w:type="dxa" w:w="80"/>
              <w:left w:type="dxa" w:w="120"/>
              <w:bottom w:type="dxa" w:w="80"/>
              <w:right w:type="dxa" w:w="120"/>
            </w:tcMar>
            <w:vAlign w:val="center"/>
          </w:tcPr>
          <w:p>
            <w:pPr>
              <w:pStyle w:val="MdTableCell"/>
            </w:pPr>
            <w:r>
              <w:t xml:space="preserve">HSE manager</w:t>
            </w:r>
          </w:p>
        </w:tc>
        <w:tc>
          <w:tcPr>
            <w:tcBorders>
              <w:right w:val="none"/>
            </w:tcBorders>
            <w:tcMar>
              <w:top w:type="dxa" w:w="80"/>
              <w:left w:type="dxa" w:w="120"/>
              <w:bottom w:type="dxa" w:w="80"/>
              <w:right w:type="dxa" w:w="120"/>
            </w:tcMar>
            <w:vAlign w:val="center"/>
          </w:tcPr>
          <w:p>
            <w:pPr>
              <w:pStyle w:val="MdTableCell"/>
            </w:pPr>
            <w:r>
              <w:t xml:space="preserve">Fire/emergency plan displayed and tested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M-15</w:t>
            </w:r>
          </w:p>
        </w:tc>
        <w:tc>
          <w:tcPr>
            <w:tcMar>
              <w:top w:type="dxa" w:w="80"/>
              <w:left w:type="dxa" w:w="120"/>
              <w:bottom w:type="dxa" w:w="80"/>
              <w:right w:type="dxa" w:w="120"/>
            </w:tcMar>
            <w:vAlign w:val="center"/>
          </w:tcPr>
          <w:p>
            <w:pPr>
              <w:pStyle w:val="MdTableCell"/>
            </w:pPr>
            <w:r>
              <w:t xml:space="preserve">Mobilise only approved plant, lifting equipment and operators</w:t>
            </w:r>
          </w:p>
        </w:tc>
        <w:tc>
          <w:tcPr>
            <w:tcMar>
              <w:top w:type="dxa" w:w="80"/>
              <w:left w:type="dxa" w:w="120"/>
              <w:bottom w:type="dxa" w:w="80"/>
              <w:right w:type="dxa" w:w="120"/>
            </w:tcMar>
            <w:vAlign w:val="center"/>
          </w:tcPr>
          <w:p>
            <w:pPr>
              <w:pStyle w:val="MdTableCell"/>
            </w:pPr>
            <w:r>
              <w:t xml:space="preserve">Before use</w:t>
            </w:r>
          </w:p>
        </w:tc>
        <w:tc>
          <w:tcPr>
            <w:tcMar>
              <w:top w:type="dxa" w:w="80"/>
              <w:left w:type="dxa" w:w="120"/>
              <w:bottom w:type="dxa" w:w="80"/>
              <w:right w:type="dxa" w:w="120"/>
            </w:tcMar>
            <w:vAlign w:val="center"/>
          </w:tcPr>
          <w:p>
            <w:pPr>
              <w:pStyle w:val="MdTableCell"/>
            </w:pPr>
            <w:r>
              <w:t xml:space="preserve">Plant manager</w:t>
            </w:r>
          </w:p>
        </w:tc>
        <w:tc>
          <w:tcPr>
            <w:tcBorders>
              <w:right w:val="none"/>
            </w:tcBorders>
            <w:tcMar>
              <w:top w:type="dxa" w:w="80"/>
              <w:left w:type="dxa" w:w="120"/>
              <w:bottom w:type="dxa" w:w="80"/>
              <w:right w:type="dxa" w:w="120"/>
            </w:tcMar>
            <w:vAlign w:val="center"/>
          </w:tcPr>
          <w:p>
            <w:pPr>
              <w:pStyle w:val="MdTableCell"/>
            </w:pPr>
            <w:r>
              <w:t xml:space="preserve">Register, third-party certificates, inspections and operator competence evidence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M-16</w:t>
            </w:r>
          </w:p>
        </w:tc>
        <w:tc>
          <w:tcPr>
            <w:tcMar>
              <w:top w:type="dxa" w:w="80"/>
              <w:left w:type="dxa" w:w="120"/>
              <w:bottom w:type="dxa" w:w="80"/>
              <w:right w:type="dxa" w:w="120"/>
            </w:tcMar>
            <w:vAlign w:val="center"/>
          </w:tcPr>
          <w:p>
            <w:pPr>
              <w:pStyle w:val="MdTableCell"/>
            </w:pPr>
            <w:r>
              <w:t xml:space="preserve">Approve RAMS, lifting plans, traffic plans and permit-to-work workflow</w:t>
            </w:r>
          </w:p>
        </w:tc>
        <w:tc>
          <w:tcPr>
            <w:tcMar>
              <w:top w:type="dxa" w:w="80"/>
              <w:left w:type="dxa" w:w="120"/>
              <w:bottom w:type="dxa" w:w="80"/>
              <w:right w:type="dxa" w:w="120"/>
            </w:tcMar>
            <w:vAlign w:val="center"/>
          </w:tcPr>
          <w:p>
            <w:pPr>
              <w:pStyle w:val="MdTableCell"/>
            </w:pPr>
            <w:r>
              <w:t xml:space="preserve">Before high-risk activity</w:t>
            </w:r>
          </w:p>
        </w:tc>
        <w:tc>
          <w:tcPr>
            <w:tcMar>
              <w:top w:type="dxa" w:w="80"/>
              <w:left w:type="dxa" w:w="120"/>
              <w:bottom w:type="dxa" w:w="80"/>
              <w:right w:type="dxa" w:w="120"/>
            </w:tcMar>
            <w:vAlign w:val="center"/>
          </w:tcPr>
          <w:p>
            <w:pPr>
              <w:pStyle w:val="MdTableCell"/>
            </w:pPr>
            <w:r>
              <w:t xml:space="preserve">Construction/HSE manager</w:t>
            </w:r>
          </w:p>
        </w:tc>
        <w:tc>
          <w:tcPr>
            <w:tcBorders>
              <w:right w:val="none"/>
            </w:tcBorders>
            <w:tcMar>
              <w:top w:type="dxa" w:w="80"/>
              <w:left w:type="dxa" w:w="120"/>
              <w:bottom w:type="dxa" w:w="80"/>
              <w:right w:type="dxa" w:w="120"/>
            </w:tcMar>
            <w:vAlign w:val="center"/>
          </w:tcPr>
          <w:p>
            <w:pPr>
              <w:pStyle w:val="MdTableCell"/>
            </w:pPr>
            <w:r>
              <w:t xml:space="preserve">Work cannot begin without controlled risk assessment and authorisation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M-17</w:t>
            </w:r>
          </w:p>
        </w:tc>
        <w:tc>
          <w:tcPr>
            <w:tcMar>
              <w:top w:type="dxa" w:w="80"/>
              <w:left w:type="dxa" w:w="120"/>
              <w:bottom w:type="dxa" w:w="80"/>
              <w:right w:type="dxa" w:w="120"/>
            </w:tcMar>
            <w:vAlign w:val="center"/>
          </w:tcPr>
          <w:p>
            <w:pPr>
              <w:pStyle w:val="MdTableCell"/>
            </w:pPr>
            <w:r>
              <w:t xml:space="preserve">Complete workforce/subcontractor onboarding and induction</w:t>
            </w:r>
          </w:p>
        </w:tc>
        <w:tc>
          <w:tcPr>
            <w:tcMar>
              <w:top w:type="dxa" w:w="80"/>
              <w:left w:type="dxa" w:w="120"/>
              <w:bottom w:type="dxa" w:w="80"/>
              <w:right w:type="dxa" w:w="120"/>
            </w:tcMar>
            <w:vAlign w:val="center"/>
          </w:tcPr>
          <w:p>
            <w:pPr>
              <w:pStyle w:val="MdTableCell"/>
            </w:pPr>
            <w:r>
              <w:t xml:space="preserve">Before access is granted</w:t>
            </w:r>
          </w:p>
        </w:tc>
        <w:tc>
          <w:tcPr>
            <w:tcMar>
              <w:top w:type="dxa" w:w="80"/>
              <w:left w:type="dxa" w:w="120"/>
              <w:bottom w:type="dxa" w:w="80"/>
              <w:right w:type="dxa" w:w="120"/>
            </w:tcMar>
            <w:vAlign w:val="center"/>
          </w:tcPr>
          <w:p>
            <w:pPr>
              <w:pStyle w:val="MdTableCell"/>
            </w:pPr>
            <w:r>
              <w:t xml:space="preserve">HSE/HR/subcontractor manager</w:t>
            </w:r>
          </w:p>
        </w:tc>
        <w:tc>
          <w:tcPr>
            <w:tcBorders>
              <w:right w:val="none"/>
            </w:tcBorders>
            <w:tcMar>
              <w:top w:type="dxa" w:w="80"/>
              <w:left w:type="dxa" w:w="120"/>
              <w:bottom w:type="dxa" w:w="80"/>
              <w:right w:type="dxa" w:w="120"/>
            </w:tcMar>
            <w:vAlign w:val="center"/>
          </w:tcPr>
          <w:p>
            <w:pPr>
              <w:pStyle w:val="MdTableCell"/>
            </w:pPr>
            <w:r>
              <w:t xml:space="preserve">Traceable inductions, competency matrix and records of worker acknowledgement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M-18</w:t>
            </w:r>
          </w:p>
        </w:tc>
        <w:tc>
          <w:tcPr>
            <w:tcMar>
              <w:top w:type="dxa" w:w="80"/>
              <w:left w:type="dxa" w:w="120"/>
              <w:bottom w:type="dxa" w:w="80"/>
              <w:right w:type="dxa" w:w="120"/>
            </w:tcMar>
            <w:vAlign w:val="center"/>
          </w:tcPr>
          <w:p>
            <w:pPr>
              <w:pStyle w:val="MdTableCell"/>
            </w:pPr>
            <w:r>
              <w:t xml:space="preserve">Establish environmental controls</w:t>
            </w:r>
          </w:p>
        </w:tc>
        <w:tc>
          <w:tcPr>
            <w:tcMar>
              <w:top w:type="dxa" w:w="80"/>
              <w:left w:type="dxa" w:w="120"/>
              <w:bottom w:type="dxa" w:w="80"/>
              <w:right w:type="dxa" w:w="120"/>
            </w:tcMar>
            <w:vAlign w:val="center"/>
          </w:tcPr>
          <w:p>
            <w:pPr>
              <w:pStyle w:val="MdTableCell"/>
            </w:pPr>
            <w:r>
              <w:t xml:space="preserve">Before dust/noise/waste-generating work</w:t>
            </w:r>
          </w:p>
        </w:tc>
        <w:tc>
          <w:tcPr>
            <w:tcMar>
              <w:top w:type="dxa" w:w="80"/>
              <w:left w:type="dxa" w:w="120"/>
              <w:bottom w:type="dxa" w:w="80"/>
              <w:right w:type="dxa" w:w="120"/>
            </w:tcMar>
            <w:vAlign w:val="center"/>
          </w:tcPr>
          <w:p>
            <w:pPr>
              <w:pStyle w:val="MdTableCell"/>
            </w:pPr>
            <w:r>
              <w:t xml:space="preserve">HSE/environment manager</w:t>
            </w:r>
          </w:p>
        </w:tc>
        <w:tc>
          <w:tcPr>
            <w:tcBorders>
              <w:right w:val="none"/>
            </w:tcBorders>
            <w:tcMar>
              <w:top w:type="dxa" w:w="80"/>
              <w:left w:type="dxa" w:w="120"/>
              <w:bottom w:type="dxa" w:w="80"/>
              <w:right w:type="dxa" w:w="120"/>
            </w:tcMar>
            <w:vAlign w:val="center"/>
          </w:tcPr>
          <w:p>
            <w:pPr>
              <w:pStyle w:val="MdTableCell"/>
            </w:pPr>
            <w:r>
              <w:t xml:space="preserve">Waste route, spill response, dust/noise controls and transfer-note process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M-19</w:t>
            </w:r>
          </w:p>
        </w:tc>
        <w:tc>
          <w:tcPr>
            <w:tcMar>
              <w:top w:type="dxa" w:w="80"/>
              <w:left w:type="dxa" w:w="120"/>
              <w:bottom w:type="dxa" w:w="80"/>
              <w:right w:type="dxa" w:w="120"/>
            </w:tcMar>
            <w:vAlign w:val="center"/>
          </w:tcPr>
          <w:p>
            <w:pPr>
              <w:pStyle w:val="MdTableCell"/>
            </w:pPr>
            <w:r>
              <w:t xml:space="preserve">Set client reporting cadence</w:t>
            </w:r>
          </w:p>
        </w:tc>
        <w:tc>
          <w:tcPr>
            <w:tcMar>
              <w:top w:type="dxa" w:w="80"/>
              <w:left w:type="dxa" w:w="120"/>
              <w:bottom w:type="dxa" w:w="80"/>
              <w:right w:type="dxa" w:w="120"/>
            </w:tcMar>
            <w:vAlign w:val="center"/>
          </w:tcPr>
          <w:p>
            <w:pPr>
              <w:pStyle w:val="MdTableCell"/>
            </w:pPr>
            <w:r>
              <w:t xml:space="preserve">Before Day One</w:t>
            </w:r>
          </w:p>
        </w:tc>
        <w:tc>
          <w:tcPr>
            <w:tcMar>
              <w:top w:type="dxa" w:w="80"/>
              <w:left w:type="dxa" w:w="120"/>
              <w:bottom w:type="dxa" w:w="80"/>
              <w:right w:type="dxa" w:w="120"/>
            </w:tcMar>
            <w:vAlign w:val="center"/>
          </w:tcPr>
          <w:p>
            <w:pPr>
              <w:pStyle w:val="MdTableCell"/>
            </w:pPr>
            <w:r>
              <w:t xml:space="preserve">Project manager</w:t>
            </w:r>
          </w:p>
        </w:tc>
        <w:tc>
          <w:tcPr>
            <w:tcBorders>
              <w:right w:val="none"/>
            </w:tcBorders>
            <w:tcMar>
              <w:top w:type="dxa" w:w="80"/>
              <w:left w:type="dxa" w:w="120"/>
              <w:bottom w:type="dxa" w:w="80"/>
              <w:right w:type="dxa" w:w="120"/>
            </w:tcMar>
            <w:vAlign w:val="center"/>
          </w:tcPr>
          <w:p>
            <w:pPr>
              <w:pStyle w:val="MdTableCell"/>
            </w:pPr>
            <w:r>
              <w:t xml:space="preserve">Weekly readiness report, authority status, risks, decisions needed and forecast dates</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M-20</w:t>
            </w:r>
          </w:p>
        </w:tc>
        <w:tc>
          <w:tcPr>
            <w:tcBorders>
              <w:bottom w:val="single" w:color="E1E4E8" w:sz="4"/>
            </w:tcBorders>
            <w:tcMar>
              <w:top w:type="dxa" w:w="80"/>
              <w:left w:type="dxa" w:w="120"/>
              <w:bottom w:type="dxa" w:w="80"/>
              <w:right w:type="dxa" w:w="120"/>
            </w:tcMar>
            <w:vAlign w:val="center"/>
          </w:tcPr>
          <w:p>
            <w:pPr>
              <w:pStyle w:val="MdTableCell"/>
            </w:pPr>
            <w:r>
              <w:t xml:space="preserve">Hold Day-One readiness review</w:t>
            </w:r>
          </w:p>
        </w:tc>
        <w:tc>
          <w:tcPr>
            <w:tcBorders>
              <w:bottom w:val="single" w:color="E1E4E8" w:sz="4"/>
            </w:tcBorders>
            <w:tcMar>
              <w:top w:type="dxa" w:w="80"/>
              <w:left w:type="dxa" w:w="120"/>
              <w:bottom w:type="dxa" w:w="80"/>
              <w:right w:type="dxa" w:w="120"/>
            </w:tcMar>
            <w:vAlign w:val="center"/>
          </w:tcPr>
          <w:p>
            <w:pPr>
              <w:pStyle w:val="MdTableCell"/>
            </w:pPr>
            <w:r>
              <w:t xml:space="preserve">Immediately before mobilisation release</w:t>
            </w:r>
          </w:p>
        </w:tc>
        <w:tc>
          <w:tcPr>
            <w:tcBorders>
              <w:bottom w:val="single" w:color="E1E4E8" w:sz="4"/>
            </w:tcBorders>
            <w:tcMar>
              <w:top w:type="dxa" w:w="80"/>
              <w:left w:type="dxa" w:w="120"/>
              <w:bottom w:type="dxa" w:w="80"/>
              <w:right w:type="dxa" w:w="120"/>
            </w:tcMar>
            <w:vAlign w:val="center"/>
          </w:tcPr>
          <w:p>
            <w:pPr>
              <w:pStyle w:val="MdTableCell"/>
            </w:pPr>
            <w:r>
              <w:t xml:space="preserve">Project director + client/consultant</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A documented go/no-go decision; unresolved critical items are visible and owned</w:t>
            </w:r>
          </w:p>
        </w:tc>
      </w:tr>
    </w:tbl>
    <w:p>
      <w:pPr>
        <w:pStyle w:val="Heading3"/>
        <w:pStyle w:val="MdHeading3"/>
      </w:pPr>
      <w:r>
        <w:t xml:space="preserve">Mandatory Ajman evidence prompts</w:t>
      </w:r>
    </w:p>
    <w:p>
      <w:pPr>
        <w:pStyle w:val="MdParagraph"/>
      </w:pPr>
      <w:r>
        <w:t xml:space="preserve">When </w:t>
      </w:r>
      <w:r>
        <w:rPr>
          <w:rStyle w:val="MdStrong"/>
          <w:b/>
          <w:bCs/>
        </w:rPr>
        <w:t xml:space="preserve">Ajman mainland</w:t>
      </w:r>
      <w:r>
        <w:t xml:space="preserve"> is selected, the checklist should automatically propose the published municipal documents. For building-permit preparation, Ajman lists executive architectural and structural drawings, approvals from named service entities, supervision/contracting appendices and new-project approval for the contractor/consultant. </w:t>
      </w:r>
      <w:hyperlink w:history="1" r:id="rIdzsht6u8w_-3a4xpbh8c6r">
        <w:r>
          <w:rPr>
            <w:rStyle w:val="MdLink"/>
          </w:rPr>
          <w:t xml:space="preserve">4</w:t>
        </w:r>
      </w:hyperlink>
      <w:r>
        <w:t xml:space="preserve"> For a work-commencement NOC, Ajman lists, among other items, the request letter, assignment order, building permit, valid Ajman contractor licence, site/construction work plan and owner-approved plan where required. </w:t>
      </w:r>
      <w:hyperlink w:history="1" r:id="rId90kwwaxb-v04kvbksxsd4">
        <w:r>
          <w:rPr>
            <w:rStyle w:val="MdLink"/>
          </w:rPr>
          <w:t xml:space="preserve">5</w:t>
        </w:r>
      </w:hyperlink>
    </w:p>
    <w:p>
      <w:pPr>
        <w:pStyle w:val="MdSpace"/>
        <w:spacing w:before="0" w:after="60"/>
      </w:pPr>
    </w:p>
    <w:p>
      <w:pPr>
        <w:pStyle w:val="Heading2"/>
        <w:pStyle w:val="MdHeading2"/>
      </w:pPr>
      <w:r>
        <w:t xml:space="preserve">4. Demobilisation, closeout and client-handover checklist content</w:t>
      </w:r>
    </w:p>
    <w:p>
      <w:pPr>
        <w:pStyle w:val="MdParagraph"/>
      </w:pPr>
      <w:r>
        <w:t xml:space="preserve">This must be a separate page or tab, started long before physical completion. It should include two status types: </w:t>
      </w:r>
      <w:r>
        <w:rPr>
          <w:rStyle w:val="MdStrong"/>
          <w:b/>
          <w:bCs/>
        </w:rPr>
        <w:t xml:space="preserve">authority-ready</w:t>
      </w:r>
      <w:r>
        <w:t xml:space="preserve"> and </w:t>
      </w:r>
      <w:r>
        <w:rPr>
          <w:rStyle w:val="MdStrong"/>
          <w:b/>
          <w:bCs/>
        </w:rPr>
        <w:t xml:space="preserve">client-ready</w:t>
      </w:r>
      <w:r>
        <w:t xml:space="preserve">. A project can be physically complete but not ready for either status.</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ID</w:t>
            </w:r>
          </w:p>
        </w:tc>
        <w:tc>
          <w:tcPr>
            <w:tcMar>
              <w:top w:type="dxa" w:w="100"/>
              <w:left w:type="dxa" w:w="120"/>
              <w:bottom w:type="dxa" w:w="100"/>
              <w:right w:type="dxa" w:w="120"/>
            </w:tcMar>
            <w:vAlign w:val="center"/>
          </w:tcPr>
          <w:p>
            <w:pPr>
              <w:pStyle w:val="MdTableHeader"/>
            </w:pPr>
            <w:r>
              <w:t xml:space="preserve">Demob/closeout check</w:t>
            </w:r>
          </w:p>
        </w:tc>
        <w:tc>
          <w:tcPr>
            <w:tcMar>
              <w:top w:type="dxa" w:w="100"/>
              <w:left w:type="dxa" w:w="120"/>
              <w:bottom w:type="dxa" w:w="100"/>
              <w:right w:type="dxa" w:w="120"/>
            </w:tcMar>
            <w:vAlign w:val="center"/>
          </w:tcPr>
          <w:p>
            <w:pPr>
              <w:pStyle w:val="MdTableHeader"/>
            </w:pPr>
            <w:r>
              <w:t xml:space="preserve">Recommended trigger</w:t>
            </w:r>
          </w:p>
        </w:tc>
        <w:tc>
          <w:tcPr>
            <w:tcMar>
              <w:top w:type="dxa" w:w="100"/>
              <w:left w:type="dxa" w:w="120"/>
              <w:bottom w:type="dxa" w:w="100"/>
              <w:right w:type="dxa" w:w="120"/>
            </w:tcMar>
            <w:vAlign w:val="center"/>
          </w:tcPr>
          <w:p>
            <w:pPr>
              <w:pStyle w:val="MdTableHeader"/>
            </w:pPr>
            <w:r>
              <w:t xml:space="preserve">Typical owner</w:t>
            </w:r>
          </w:p>
        </w:tc>
        <w:tc>
          <w:tcPr>
            <w:tcBorders>
              <w:right w:val="none"/>
            </w:tcBorders>
            <w:tcMar>
              <w:top w:type="dxa" w:w="100"/>
              <w:left w:type="dxa" w:w="120"/>
              <w:bottom w:type="dxa" w:w="100"/>
              <w:right w:type="dxa" w:w="120"/>
            </w:tcMar>
            <w:vAlign w:val="center"/>
          </w:tcPr>
          <w:p>
            <w:pPr>
              <w:pStyle w:val="MdTableHeader"/>
            </w:pPr>
            <w:r>
              <w:t xml:space="preserve">Client-facing outcome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D-01</w:t>
            </w:r>
          </w:p>
        </w:tc>
        <w:tc>
          <w:tcPr>
            <w:tcMar>
              <w:top w:type="dxa" w:w="80"/>
              <w:left w:type="dxa" w:w="120"/>
              <w:bottom w:type="dxa" w:w="80"/>
              <w:right w:type="dxa" w:w="120"/>
            </w:tcMar>
            <w:vAlign w:val="center"/>
          </w:tcPr>
          <w:p>
            <w:pPr>
              <w:pStyle w:val="MdTableCell"/>
            </w:pPr>
            <w:r>
              <w:t xml:space="preserve">Freeze the closeout register and map every contract deliverable</w:t>
            </w:r>
          </w:p>
        </w:tc>
        <w:tc>
          <w:tcPr>
            <w:tcMar>
              <w:top w:type="dxa" w:w="80"/>
              <w:left w:type="dxa" w:w="120"/>
              <w:bottom w:type="dxa" w:w="80"/>
              <w:right w:type="dxa" w:w="120"/>
            </w:tcMar>
            <w:vAlign w:val="center"/>
          </w:tcPr>
          <w:p>
            <w:pPr>
              <w:pStyle w:val="MdTableCell"/>
            </w:pPr>
            <w:r>
              <w:t xml:space="preserve">12–16 weeks before target handover, scaled to project size</w:t>
            </w:r>
          </w:p>
        </w:tc>
        <w:tc>
          <w:tcPr>
            <w:tcMar>
              <w:top w:type="dxa" w:w="80"/>
              <w:left w:type="dxa" w:w="120"/>
              <w:bottom w:type="dxa" w:w="80"/>
              <w:right w:type="dxa" w:w="120"/>
            </w:tcMar>
            <w:vAlign w:val="center"/>
          </w:tcPr>
          <w:p>
            <w:pPr>
              <w:pStyle w:val="MdTableCell"/>
            </w:pPr>
            <w:r>
              <w:t xml:space="preserve">Project manager + document controller</w:t>
            </w:r>
          </w:p>
        </w:tc>
        <w:tc>
          <w:tcPr>
            <w:tcBorders>
              <w:right w:val="none"/>
            </w:tcBorders>
            <w:tcMar>
              <w:top w:type="dxa" w:w="80"/>
              <w:left w:type="dxa" w:w="120"/>
              <w:bottom w:type="dxa" w:w="80"/>
              <w:right w:type="dxa" w:w="120"/>
            </w:tcMar>
            <w:vAlign w:val="center"/>
          </w:tcPr>
          <w:p>
            <w:pPr>
              <w:pStyle w:val="MdTableCell"/>
            </w:pPr>
            <w:r>
              <w:t xml:space="preserve">No missing closeout category is discovered at the end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D-02</w:t>
            </w:r>
          </w:p>
        </w:tc>
        <w:tc>
          <w:tcPr>
            <w:tcMar>
              <w:top w:type="dxa" w:w="80"/>
              <w:left w:type="dxa" w:w="120"/>
              <w:bottom w:type="dxa" w:w="80"/>
              <w:right w:type="dxa" w:w="120"/>
            </w:tcMar>
            <w:vAlign w:val="center"/>
          </w:tcPr>
          <w:p>
            <w:pPr>
              <w:pStyle w:val="MdTableCell"/>
            </w:pPr>
            <w:r>
              <w:t xml:space="preserve">Agree authority, utility and client completion sequence</w:t>
            </w:r>
          </w:p>
        </w:tc>
        <w:tc>
          <w:tcPr>
            <w:tcMar>
              <w:top w:type="dxa" w:w="80"/>
              <w:left w:type="dxa" w:w="120"/>
              <w:bottom w:type="dxa" w:w="80"/>
              <w:right w:type="dxa" w:w="120"/>
            </w:tcMar>
            <w:vAlign w:val="center"/>
          </w:tcPr>
          <w:p>
            <w:pPr>
              <w:pStyle w:val="MdTableCell"/>
            </w:pPr>
            <w:r>
              <w:t xml:space="preserve">12–16 weeks before handover</w:t>
            </w:r>
          </w:p>
        </w:tc>
        <w:tc>
          <w:tcPr>
            <w:tcMar>
              <w:top w:type="dxa" w:w="80"/>
              <w:left w:type="dxa" w:w="120"/>
              <w:bottom w:type="dxa" w:w="80"/>
              <w:right w:type="dxa" w:w="120"/>
            </w:tcMar>
            <w:vAlign w:val="center"/>
          </w:tcPr>
          <w:p>
            <w:pPr>
              <w:pStyle w:val="MdTableCell"/>
            </w:pPr>
            <w:r>
              <w:t xml:space="preserve">Consultant + project manager</w:t>
            </w:r>
          </w:p>
        </w:tc>
        <w:tc>
          <w:tcPr>
            <w:tcBorders>
              <w:right w:val="none"/>
            </w:tcBorders>
            <w:tcMar>
              <w:top w:type="dxa" w:w="80"/>
              <w:left w:type="dxa" w:w="120"/>
              <w:bottom w:type="dxa" w:w="80"/>
              <w:right w:type="dxa" w:w="120"/>
            </w:tcMar>
            <w:vAlign w:val="center"/>
          </w:tcPr>
          <w:p>
            <w:pPr>
              <w:pStyle w:val="MdTableCell"/>
            </w:pPr>
            <w:r>
              <w:t xml:space="preserve">Critical path clearly shows inspection and connection dependencies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D-03</w:t>
            </w:r>
          </w:p>
        </w:tc>
        <w:tc>
          <w:tcPr>
            <w:tcMar>
              <w:top w:type="dxa" w:w="80"/>
              <w:left w:type="dxa" w:w="120"/>
              <w:bottom w:type="dxa" w:w="80"/>
              <w:right w:type="dxa" w:w="120"/>
            </w:tcMar>
            <w:vAlign w:val="center"/>
          </w:tcPr>
          <w:p>
            <w:pPr>
              <w:pStyle w:val="MdTableCell"/>
            </w:pPr>
            <w:r>
              <w:t xml:space="preserve">Update as-built drawing schedule and red-line capture process</w:t>
            </w:r>
          </w:p>
        </w:tc>
        <w:tc>
          <w:tcPr>
            <w:tcMar>
              <w:top w:type="dxa" w:w="80"/>
              <w:left w:type="dxa" w:w="120"/>
              <w:bottom w:type="dxa" w:w="80"/>
              <w:right w:type="dxa" w:w="120"/>
            </w:tcMar>
            <w:vAlign w:val="center"/>
          </w:tcPr>
          <w:p>
            <w:pPr>
              <w:pStyle w:val="MdTableCell"/>
            </w:pPr>
            <w:r>
              <w:t xml:space="preserve">During construction; weekly near completion</w:t>
            </w:r>
          </w:p>
        </w:tc>
        <w:tc>
          <w:tcPr>
            <w:tcMar>
              <w:top w:type="dxa" w:w="80"/>
              <w:left w:type="dxa" w:w="120"/>
              <w:bottom w:type="dxa" w:w="80"/>
              <w:right w:type="dxa" w:w="120"/>
            </w:tcMar>
            <w:vAlign w:val="center"/>
          </w:tcPr>
          <w:p>
            <w:pPr>
              <w:pStyle w:val="MdTableCell"/>
            </w:pPr>
            <w:r>
              <w:t xml:space="preserve">Consultant + subcontractors</w:t>
            </w:r>
          </w:p>
        </w:tc>
        <w:tc>
          <w:tcPr>
            <w:tcBorders>
              <w:right w:val="none"/>
            </w:tcBorders>
            <w:tcMar>
              <w:top w:type="dxa" w:w="80"/>
              <w:left w:type="dxa" w:w="120"/>
              <w:bottom w:type="dxa" w:w="80"/>
              <w:right w:type="dxa" w:w="120"/>
            </w:tcMar>
            <w:vAlign w:val="center"/>
          </w:tcPr>
          <w:p>
            <w:pPr>
              <w:pStyle w:val="MdTableCell"/>
            </w:pPr>
            <w:r>
              <w:t xml:space="preserve">As-builts are progressively produced, not recreated after completion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D-04</w:t>
            </w:r>
          </w:p>
        </w:tc>
        <w:tc>
          <w:tcPr>
            <w:tcMar>
              <w:top w:type="dxa" w:w="80"/>
              <w:left w:type="dxa" w:w="120"/>
              <w:bottom w:type="dxa" w:w="80"/>
              <w:right w:type="dxa" w:w="120"/>
            </w:tcMar>
            <w:vAlign w:val="center"/>
          </w:tcPr>
          <w:p>
            <w:pPr>
              <w:pStyle w:val="MdTableCell"/>
            </w:pPr>
            <w:r>
              <w:t xml:space="preserve">Create testing, commissioning and witness schedule</w:t>
            </w:r>
          </w:p>
        </w:tc>
        <w:tc>
          <w:tcPr>
            <w:tcMar>
              <w:top w:type="dxa" w:w="80"/>
              <w:left w:type="dxa" w:w="120"/>
              <w:bottom w:type="dxa" w:w="80"/>
              <w:right w:type="dxa" w:w="120"/>
            </w:tcMar>
            <w:vAlign w:val="center"/>
          </w:tcPr>
          <w:p>
            <w:pPr>
              <w:pStyle w:val="MdTableCell"/>
            </w:pPr>
            <w:r>
              <w:t xml:space="preserve">8–12 weeks before handover</w:t>
            </w:r>
          </w:p>
        </w:tc>
        <w:tc>
          <w:tcPr>
            <w:tcMar>
              <w:top w:type="dxa" w:w="80"/>
              <w:left w:type="dxa" w:w="120"/>
              <w:bottom w:type="dxa" w:w="80"/>
              <w:right w:type="dxa" w:w="120"/>
            </w:tcMar>
            <w:vAlign w:val="center"/>
          </w:tcPr>
          <w:p>
            <w:pPr>
              <w:pStyle w:val="MdTableCell"/>
            </w:pPr>
            <w:r>
              <w:t xml:space="preserve">MEP/commissioning manager</w:t>
            </w:r>
          </w:p>
        </w:tc>
        <w:tc>
          <w:tcPr>
            <w:tcBorders>
              <w:right w:val="none"/>
            </w:tcBorders>
            <w:tcMar>
              <w:top w:type="dxa" w:w="80"/>
              <w:left w:type="dxa" w:w="120"/>
              <w:bottom w:type="dxa" w:w="80"/>
              <w:right w:type="dxa" w:w="120"/>
            </w:tcMar>
            <w:vAlign w:val="center"/>
          </w:tcPr>
          <w:p>
            <w:pPr>
              <w:pStyle w:val="MdTableCell"/>
            </w:pPr>
            <w:r>
              <w:t xml:space="preserve">Client knows required attendance, notice and acceptance criteria</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D-05</w:t>
            </w:r>
          </w:p>
        </w:tc>
        <w:tc>
          <w:tcPr>
            <w:tcMar>
              <w:top w:type="dxa" w:w="80"/>
              <w:left w:type="dxa" w:w="120"/>
              <w:bottom w:type="dxa" w:w="80"/>
              <w:right w:type="dxa" w:w="120"/>
            </w:tcMar>
            <w:vAlign w:val="center"/>
          </w:tcPr>
          <w:p>
            <w:pPr>
              <w:pStyle w:val="MdTableCell"/>
            </w:pPr>
            <w:r>
              <w:t xml:space="preserve">Close quality inspections, material approvals and non-conformances</w:t>
            </w:r>
          </w:p>
        </w:tc>
        <w:tc>
          <w:tcPr>
            <w:tcMar>
              <w:top w:type="dxa" w:w="80"/>
              <w:left w:type="dxa" w:w="120"/>
              <w:bottom w:type="dxa" w:w="80"/>
              <w:right w:type="dxa" w:w="120"/>
            </w:tcMar>
            <w:vAlign w:val="center"/>
          </w:tcPr>
          <w:p>
            <w:pPr>
              <w:pStyle w:val="MdTableCell"/>
            </w:pPr>
            <w:r>
              <w:t xml:space="preserve">Before final inspection requests</w:t>
            </w:r>
          </w:p>
        </w:tc>
        <w:tc>
          <w:tcPr>
            <w:tcMar>
              <w:top w:type="dxa" w:w="80"/>
              <w:left w:type="dxa" w:w="120"/>
              <w:bottom w:type="dxa" w:w="80"/>
              <w:right w:type="dxa" w:w="120"/>
            </w:tcMar>
            <w:vAlign w:val="center"/>
          </w:tcPr>
          <w:p>
            <w:pPr>
              <w:pStyle w:val="MdTableCell"/>
            </w:pPr>
            <w:r>
              <w:t xml:space="preserve">QA/QC manager</w:t>
            </w:r>
          </w:p>
        </w:tc>
        <w:tc>
          <w:tcPr>
            <w:tcBorders>
              <w:right w:val="none"/>
            </w:tcBorders>
            <w:tcMar>
              <w:top w:type="dxa" w:w="80"/>
              <w:left w:type="dxa" w:w="120"/>
              <w:bottom w:type="dxa" w:w="80"/>
              <w:right w:type="dxa" w:w="120"/>
            </w:tcMar>
            <w:vAlign w:val="center"/>
          </w:tcPr>
          <w:p>
            <w:pPr>
              <w:pStyle w:val="MdTableCell"/>
            </w:pPr>
            <w:r>
              <w:t xml:space="preserve">No unclosed quality issue blocks handover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D-06</w:t>
            </w:r>
          </w:p>
        </w:tc>
        <w:tc>
          <w:tcPr>
            <w:tcMar>
              <w:top w:type="dxa" w:w="80"/>
              <w:left w:type="dxa" w:w="120"/>
              <w:bottom w:type="dxa" w:w="80"/>
              <w:right w:type="dxa" w:w="120"/>
            </w:tcMar>
            <w:vAlign w:val="center"/>
          </w:tcPr>
          <w:p>
            <w:pPr>
              <w:pStyle w:val="MdTableCell"/>
            </w:pPr>
            <w:r>
              <w:t xml:space="preserve">Complete fire/life-safety testing and approval/clearance process</w:t>
            </w:r>
          </w:p>
        </w:tc>
        <w:tc>
          <w:tcPr>
            <w:tcMar>
              <w:top w:type="dxa" w:w="80"/>
              <w:left w:type="dxa" w:w="120"/>
              <w:bottom w:type="dxa" w:w="80"/>
              <w:right w:type="dxa" w:w="120"/>
            </w:tcMar>
            <w:vAlign w:val="center"/>
          </w:tcPr>
          <w:p>
            <w:pPr>
              <w:pStyle w:val="MdTableCell"/>
            </w:pPr>
            <w:r>
              <w:t xml:space="preserve">Before completion application</w:t>
            </w:r>
          </w:p>
        </w:tc>
        <w:tc>
          <w:tcPr>
            <w:tcMar>
              <w:top w:type="dxa" w:w="80"/>
              <w:left w:type="dxa" w:w="120"/>
              <w:bottom w:type="dxa" w:w="80"/>
              <w:right w:type="dxa" w:w="120"/>
            </w:tcMar>
            <w:vAlign w:val="center"/>
          </w:tcPr>
          <w:p>
            <w:pPr>
              <w:pStyle w:val="MdTableCell"/>
            </w:pPr>
            <w:r>
              <w:t xml:space="preserve">Fire contractor + consultant</w:t>
            </w:r>
          </w:p>
        </w:tc>
        <w:tc>
          <w:tcPr>
            <w:tcBorders>
              <w:right w:val="none"/>
            </w:tcBorders>
            <w:tcMar>
              <w:top w:type="dxa" w:w="80"/>
              <w:left w:type="dxa" w:w="120"/>
              <w:bottom w:type="dxa" w:w="80"/>
              <w:right w:type="dxa" w:w="120"/>
            </w:tcMar>
            <w:vAlign w:val="center"/>
          </w:tcPr>
          <w:p>
            <w:pPr>
              <w:pStyle w:val="MdTableCell"/>
            </w:pPr>
            <w:r>
              <w:t xml:space="preserve">Certificates, test reports and authority clearance available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D-07</w:t>
            </w:r>
          </w:p>
        </w:tc>
        <w:tc>
          <w:tcPr>
            <w:tcMar>
              <w:top w:type="dxa" w:w="80"/>
              <w:left w:type="dxa" w:w="120"/>
              <w:bottom w:type="dxa" w:w="80"/>
              <w:right w:type="dxa" w:w="120"/>
            </w:tcMar>
            <w:vAlign w:val="center"/>
          </w:tcPr>
          <w:p>
            <w:pPr>
              <w:pStyle w:val="MdTableCell"/>
            </w:pPr>
            <w:r>
              <w:t xml:space="preserve">Complete utility, telecoms, drainage/sewer and infrastructure clearances</w:t>
            </w:r>
          </w:p>
        </w:tc>
        <w:tc>
          <w:tcPr>
            <w:tcMar>
              <w:top w:type="dxa" w:w="80"/>
              <w:left w:type="dxa" w:w="120"/>
              <w:bottom w:type="dxa" w:w="80"/>
              <w:right w:type="dxa" w:w="120"/>
            </w:tcMar>
            <w:vAlign w:val="center"/>
          </w:tcPr>
          <w:p>
            <w:pPr>
              <w:pStyle w:val="MdTableCell"/>
            </w:pPr>
            <w:r>
              <w:t xml:space="preserve">Before permanent connection/municipal completion path</w:t>
            </w:r>
          </w:p>
        </w:tc>
        <w:tc>
          <w:tcPr>
            <w:tcMar>
              <w:top w:type="dxa" w:w="80"/>
              <w:left w:type="dxa" w:w="120"/>
              <w:bottom w:type="dxa" w:w="80"/>
              <w:right w:type="dxa" w:w="120"/>
            </w:tcMar>
            <w:vAlign w:val="center"/>
          </w:tcPr>
          <w:p>
            <w:pPr>
              <w:pStyle w:val="MdTableCell"/>
            </w:pPr>
            <w:r>
              <w:t xml:space="preserve">Utility coordinator</w:t>
            </w:r>
          </w:p>
        </w:tc>
        <w:tc>
          <w:tcPr>
            <w:tcBorders>
              <w:right w:val="none"/>
            </w:tcBorders>
            <w:tcMar>
              <w:top w:type="dxa" w:w="80"/>
              <w:left w:type="dxa" w:w="120"/>
              <w:bottom w:type="dxa" w:w="80"/>
              <w:right w:type="dxa" w:w="120"/>
            </w:tcMar>
            <w:vAlign w:val="center"/>
          </w:tcPr>
          <w:p>
            <w:pPr>
              <w:pStyle w:val="MdTableCell"/>
            </w:pPr>
            <w:r>
              <w:t xml:space="preserve">Connection, meter and clearance status visible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D-08</w:t>
            </w:r>
          </w:p>
        </w:tc>
        <w:tc>
          <w:tcPr>
            <w:tcMar>
              <w:top w:type="dxa" w:w="80"/>
              <w:left w:type="dxa" w:w="120"/>
              <w:bottom w:type="dxa" w:w="80"/>
              <w:right w:type="dxa" w:w="120"/>
            </w:tcMar>
            <w:vAlign w:val="center"/>
          </w:tcPr>
          <w:p>
            <w:pPr>
              <w:pStyle w:val="MdTableCell"/>
            </w:pPr>
            <w:r>
              <w:t xml:space="preserve">Secure required municipal/free-zone completion certificate path</w:t>
            </w:r>
          </w:p>
        </w:tc>
        <w:tc>
          <w:tcPr>
            <w:tcMar>
              <w:top w:type="dxa" w:w="80"/>
              <w:left w:type="dxa" w:w="120"/>
              <w:bottom w:type="dxa" w:w="80"/>
              <w:right w:type="dxa" w:w="120"/>
            </w:tcMar>
            <w:vAlign w:val="center"/>
          </w:tcPr>
          <w:p>
            <w:pPr>
              <w:pStyle w:val="MdTableCell"/>
            </w:pPr>
            <w:r>
              <w:t xml:space="preserve">Before occupation/operational handover</w:t>
            </w:r>
          </w:p>
        </w:tc>
        <w:tc>
          <w:tcPr>
            <w:tcMar>
              <w:top w:type="dxa" w:w="80"/>
              <w:left w:type="dxa" w:w="120"/>
              <w:bottom w:type="dxa" w:w="80"/>
              <w:right w:type="dxa" w:w="120"/>
            </w:tcMar>
            <w:vAlign w:val="center"/>
          </w:tcPr>
          <w:p>
            <w:pPr>
              <w:pStyle w:val="MdTableCell"/>
            </w:pPr>
            <w:r>
              <w:t xml:space="preserve">Consultant</w:t>
            </w:r>
          </w:p>
        </w:tc>
        <w:tc>
          <w:tcPr>
            <w:tcBorders>
              <w:right w:val="none"/>
            </w:tcBorders>
            <w:tcMar>
              <w:top w:type="dxa" w:w="80"/>
              <w:left w:type="dxa" w:w="120"/>
              <w:bottom w:type="dxa" w:w="80"/>
              <w:right w:type="dxa" w:w="120"/>
            </w:tcMar>
            <w:vAlign w:val="center"/>
          </w:tcPr>
          <w:p>
            <w:pPr>
              <w:pStyle w:val="MdTableCell"/>
            </w:pPr>
            <w:r>
              <w:t xml:space="preserve">Completion certificate application and inspection evidence controlled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D-09</w:t>
            </w:r>
          </w:p>
        </w:tc>
        <w:tc>
          <w:tcPr>
            <w:tcMar>
              <w:top w:type="dxa" w:w="80"/>
              <w:left w:type="dxa" w:w="120"/>
              <w:bottom w:type="dxa" w:w="80"/>
              <w:right w:type="dxa" w:w="120"/>
            </w:tcMar>
            <w:vAlign w:val="center"/>
          </w:tcPr>
          <w:p>
            <w:pPr>
              <w:pStyle w:val="MdTableCell"/>
            </w:pPr>
            <w:r>
              <w:t xml:space="preserve">Execute joint pre-handover inspection</w:t>
            </w:r>
          </w:p>
        </w:tc>
        <w:tc>
          <w:tcPr>
            <w:tcMar>
              <w:top w:type="dxa" w:w="80"/>
              <w:left w:type="dxa" w:w="120"/>
              <w:bottom w:type="dxa" w:w="80"/>
              <w:right w:type="dxa" w:w="120"/>
            </w:tcMar>
            <w:vAlign w:val="center"/>
          </w:tcPr>
          <w:p>
            <w:pPr>
              <w:pStyle w:val="MdTableCell"/>
            </w:pPr>
            <w:r>
              <w:t xml:space="preserve">Before client handover</w:t>
            </w:r>
          </w:p>
        </w:tc>
        <w:tc>
          <w:tcPr>
            <w:tcMar>
              <w:top w:type="dxa" w:w="80"/>
              <w:left w:type="dxa" w:w="120"/>
              <w:bottom w:type="dxa" w:w="80"/>
              <w:right w:type="dxa" w:w="120"/>
            </w:tcMar>
            <w:vAlign w:val="center"/>
          </w:tcPr>
          <w:p>
            <w:pPr>
              <w:pStyle w:val="MdTableCell"/>
            </w:pPr>
            <w:r>
              <w:t xml:space="preserve">Project manager + client/consultant</w:t>
            </w:r>
          </w:p>
        </w:tc>
        <w:tc>
          <w:tcPr>
            <w:tcBorders>
              <w:right w:val="none"/>
            </w:tcBorders>
            <w:tcMar>
              <w:top w:type="dxa" w:w="80"/>
              <w:left w:type="dxa" w:w="120"/>
              <w:bottom w:type="dxa" w:w="80"/>
              <w:right w:type="dxa" w:w="120"/>
            </w:tcMar>
            <w:vAlign w:val="center"/>
          </w:tcPr>
          <w:p>
            <w:pPr>
              <w:pStyle w:val="MdTableCell"/>
            </w:pPr>
            <w:r>
              <w:t xml:space="preserve">Agreed snag list, ownership and close dates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D-10</w:t>
            </w:r>
          </w:p>
        </w:tc>
        <w:tc>
          <w:tcPr>
            <w:tcMar>
              <w:top w:type="dxa" w:w="80"/>
              <w:left w:type="dxa" w:w="120"/>
              <w:bottom w:type="dxa" w:w="80"/>
              <w:right w:type="dxa" w:w="120"/>
            </w:tcMar>
            <w:vAlign w:val="center"/>
          </w:tcPr>
          <w:p>
            <w:pPr>
              <w:pStyle w:val="MdTableCell"/>
            </w:pPr>
            <w:r>
              <w:t xml:space="preserve">Close snag/defect register</w:t>
            </w:r>
          </w:p>
        </w:tc>
        <w:tc>
          <w:tcPr>
            <w:tcMar>
              <w:top w:type="dxa" w:w="80"/>
              <w:left w:type="dxa" w:w="120"/>
              <w:bottom w:type="dxa" w:w="80"/>
              <w:right w:type="dxa" w:w="120"/>
            </w:tcMar>
            <w:vAlign w:val="center"/>
          </w:tcPr>
          <w:p>
            <w:pPr>
              <w:pStyle w:val="MdTableCell"/>
            </w:pPr>
            <w:r>
              <w:t xml:space="preserve">Before acceptance</w:t>
            </w:r>
          </w:p>
        </w:tc>
        <w:tc>
          <w:tcPr>
            <w:tcMar>
              <w:top w:type="dxa" w:w="80"/>
              <w:left w:type="dxa" w:w="120"/>
              <w:bottom w:type="dxa" w:w="80"/>
              <w:right w:type="dxa" w:w="120"/>
            </w:tcMar>
            <w:vAlign w:val="center"/>
          </w:tcPr>
          <w:p>
            <w:pPr>
              <w:pStyle w:val="MdTableCell"/>
            </w:pPr>
            <w:r>
              <w:t xml:space="preserve">Package managers</w:t>
            </w:r>
          </w:p>
        </w:tc>
        <w:tc>
          <w:tcPr>
            <w:tcBorders>
              <w:right w:val="none"/>
            </w:tcBorders>
            <w:tcMar>
              <w:top w:type="dxa" w:w="80"/>
              <w:left w:type="dxa" w:w="120"/>
              <w:bottom w:type="dxa" w:w="80"/>
              <w:right w:type="dxa" w:w="120"/>
            </w:tcMar>
            <w:vAlign w:val="center"/>
          </w:tcPr>
          <w:p>
            <w:pPr>
              <w:pStyle w:val="MdTableCell"/>
            </w:pPr>
            <w:r>
              <w:t xml:space="preserve">Evidence of closure and client sign-off per item</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D-11</w:t>
            </w:r>
          </w:p>
        </w:tc>
        <w:tc>
          <w:tcPr>
            <w:tcMar>
              <w:top w:type="dxa" w:w="80"/>
              <w:left w:type="dxa" w:w="120"/>
              <w:bottom w:type="dxa" w:w="80"/>
              <w:right w:type="dxa" w:w="120"/>
            </w:tcMar>
            <w:vAlign w:val="center"/>
          </w:tcPr>
          <w:p>
            <w:pPr>
              <w:pStyle w:val="MdTableCell"/>
            </w:pPr>
            <w:r>
              <w:t xml:space="preserve">Compile O&amp;M manuals and asset register</w:t>
            </w:r>
          </w:p>
        </w:tc>
        <w:tc>
          <w:tcPr>
            <w:tcMar>
              <w:top w:type="dxa" w:w="80"/>
              <w:left w:type="dxa" w:w="120"/>
              <w:bottom w:type="dxa" w:w="80"/>
              <w:right w:type="dxa" w:w="120"/>
            </w:tcMar>
            <w:vAlign w:val="center"/>
          </w:tcPr>
          <w:p>
            <w:pPr>
              <w:pStyle w:val="MdTableCell"/>
            </w:pPr>
            <w:r>
              <w:t xml:space="preserve">Before document handover</w:t>
            </w:r>
          </w:p>
        </w:tc>
        <w:tc>
          <w:tcPr>
            <w:tcMar>
              <w:top w:type="dxa" w:w="80"/>
              <w:left w:type="dxa" w:w="120"/>
              <w:bottom w:type="dxa" w:w="80"/>
              <w:right w:type="dxa" w:w="120"/>
            </w:tcMar>
            <w:vAlign w:val="center"/>
          </w:tcPr>
          <w:p>
            <w:pPr>
              <w:pStyle w:val="MdTableCell"/>
            </w:pPr>
            <w:r>
              <w:t xml:space="preserve">MEP manager + document controller</w:t>
            </w:r>
          </w:p>
        </w:tc>
        <w:tc>
          <w:tcPr>
            <w:tcBorders>
              <w:right w:val="none"/>
            </w:tcBorders>
            <w:tcMar>
              <w:top w:type="dxa" w:w="80"/>
              <w:left w:type="dxa" w:w="120"/>
              <w:bottom w:type="dxa" w:w="80"/>
              <w:right w:type="dxa" w:w="120"/>
            </w:tcMar>
            <w:vAlign w:val="center"/>
          </w:tcPr>
          <w:p>
            <w:pPr>
              <w:pStyle w:val="MdTableCell"/>
            </w:pPr>
            <w:r>
              <w:t xml:space="preserve">Searchable manuals, equipment data, maintenance schedules and serial numbers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D-12</w:t>
            </w:r>
          </w:p>
        </w:tc>
        <w:tc>
          <w:tcPr>
            <w:tcMar>
              <w:top w:type="dxa" w:w="80"/>
              <w:left w:type="dxa" w:w="120"/>
              <w:bottom w:type="dxa" w:w="80"/>
              <w:right w:type="dxa" w:w="120"/>
            </w:tcMar>
            <w:vAlign w:val="center"/>
          </w:tcPr>
          <w:p>
            <w:pPr>
              <w:pStyle w:val="MdTableCell"/>
            </w:pPr>
            <w:r>
              <w:t xml:space="preserve">Compile warranties, guarantees and supplier contacts</w:t>
            </w:r>
          </w:p>
        </w:tc>
        <w:tc>
          <w:tcPr>
            <w:tcMar>
              <w:top w:type="dxa" w:w="80"/>
              <w:left w:type="dxa" w:w="120"/>
              <w:bottom w:type="dxa" w:w="80"/>
              <w:right w:type="dxa" w:w="120"/>
            </w:tcMar>
            <w:vAlign w:val="center"/>
          </w:tcPr>
          <w:p>
            <w:pPr>
              <w:pStyle w:val="MdTableCell"/>
            </w:pPr>
            <w:r>
              <w:t xml:space="preserve">Before handover</w:t>
            </w:r>
          </w:p>
        </w:tc>
        <w:tc>
          <w:tcPr>
            <w:tcMar>
              <w:top w:type="dxa" w:w="80"/>
              <w:left w:type="dxa" w:w="120"/>
              <w:bottom w:type="dxa" w:w="80"/>
              <w:right w:type="dxa" w:w="120"/>
            </w:tcMar>
            <w:vAlign w:val="center"/>
          </w:tcPr>
          <w:p>
            <w:pPr>
              <w:pStyle w:val="MdTableCell"/>
            </w:pPr>
            <w:r>
              <w:t xml:space="preserve">Commercial/procurement manager</w:t>
            </w:r>
          </w:p>
        </w:tc>
        <w:tc>
          <w:tcPr>
            <w:tcBorders>
              <w:right w:val="none"/>
            </w:tcBorders>
            <w:tcMar>
              <w:top w:type="dxa" w:w="80"/>
              <w:left w:type="dxa" w:w="120"/>
              <w:bottom w:type="dxa" w:w="80"/>
              <w:right w:type="dxa" w:w="120"/>
            </w:tcMar>
            <w:vAlign w:val="center"/>
          </w:tcPr>
          <w:p>
            <w:pPr>
              <w:pStyle w:val="MdTableCell"/>
            </w:pPr>
            <w:r>
              <w:t xml:space="preserve">Start/end dates, exclusions, claim route and responsible supplier clear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D-13</w:t>
            </w:r>
          </w:p>
        </w:tc>
        <w:tc>
          <w:tcPr>
            <w:tcMar>
              <w:top w:type="dxa" w:w="80"/>
              <w:left w:type="dxa" w:w="120"/>
              <w:bottom w:type="dxa" w:w="80"/>
              <w:right w:type="dxa" w:w="120"/>
            </w:tcMar>
            <w:vAlign w:val="center"/>
          </w:tcPr>
          <w:p>
            <w:pPr>
              <w:pStyle w:val="MdTableCell"/>
            </w:pPr>
            <w:r>
              <w:t xml:space="preserve">Transfer test certificates and statutory/third-party records</w:t>
            </w:r>
          </w:p>
        </w:tc>
        <w:tc>
          <w:tcPr>
            <w:tcMar>
              <w:top w:type="dxa" w:w="80"/>
              <w:left w:type="dxa" w:w="120"/>
              <w:bottom w:type="dxa" w:w="80"/>
              <w:right w:type="dxa" w:w="120"/>
            </w:tcMar>
            <w:vAlign w:val="center"/>
          </w:tcPr>
          <w:p>
            <w:pPr>
              <w:pStyle w:val="MdTableCell"/>
            </w:pPr>
            <w:r>
              <w:t xml:space="preserve">Before handover</w:t>
            </w:r>
          </w:p>
        </w:tc>
        <w:tc>
          <w:tcPr>
            <w:tcMar>
              <w:top w:type="dxa" w:w="80"/>
              <w:left w:type="dxa" w:w="120"/>
              <w:bottom w:type="dxa" w:w="80"/>
              <w:right w:type="dxa" w:w="120"/>
            </w:tcMar>
            <w:vAlign w:val="center"/>
          </w:tcPr>
          <w:p>
            <w:pPr>
              <w:pStyle w:val="MdTableCell"/>
            </w:pPr>
            <w:r>
              <w:t xml:space="preserve">QA/QC + HSE manager</w:t>
            </w:r>
          </w:p>
        </w:tc>
        <w:tc>
          <w:tcPr>
            <w:tcBorders>
              <w:right w:val="none"/>
            </w:tcBorders>
            <w:tcMar>
              <w:top w:type="dxa" w:w="80"/>
              <w:left w:type="dxa" w:w="120"/>
              <w:bottom w:type="dxa" w:w="80"/>
              <w:right w:type="dxa" w:w="120"/>
            </w:tcMar>
            <w:vAlign w:val="center"/>
          </w:tcPr>
          <w:p>
            <w:pPr>
              <w:pStyle w:val="MdTableCell"/>
            </w:pPr>
            <w:r>
              <w:t xml:space="preserve">Complete evidence pack for the asset owner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D-14</w:t>
            </w:r>
          </w:p>
        </w:tc>
        <w:tc>
          <w:tcPr>
            <w:tcMar>
              <w:top w:type="dxa" w:w="80"/>
              <w:left w:type="dxa" w:w="120"/>
              <w:bottom w:type="dxa" w:w="80"/>
              <w:right w:type="dxa" w:w="120"/>
            </w:tcMar>
            <w:vAlign w:val="center"/>
          </w:tcPr>
          <w:p>
            <w:pPr>
              <w:pStyle w:val="MdTableCell"/>
            </w:pPr>
            <w:r>
              <w:t xml:space="preserve">Deliver client operations, emergency and maintenance training</w:t>
            </w:r>
          </w:p>
        </w:tc>
        <w:tc>
          <w:tcPr>
            <w:tcMar>
              <w:top w:type="dxa" w:w="80"/>
              <w:left w:type="dxa" w:w="120"/>
              <w:bottom w:type="dxa" w:w="80"/>
              <w:right w:type="dxa" w:w="120"/>
            </w:tcMar>
            <w:vAlign w:val="center"/>
          </w:tcPr>
          <w:p>
            <w:pPr>
              <w:pStyle w:val="MdTableCell"/>
            </w:pPr>
            <w:r>
              <w:t xml:space="preserve">Before handover</w:t>
            </w:r>
          </w:p>
        </w:tc>
        <w:tc>
          <w:tcPr>
            <w:tcMar>
              <w:top w:type="dxa" w:w="80"/>
              <w:left w:type="dxa" w:w="120"/>
              <w:bottom w:type="dxa" w:w="80"/>
              <w:right w:type="dxa" w:w="120"/>
            </w:tcMar>
            <w:vAlign w:val="center"/>
          </w:tcPr>
          <w:p>
            <w:pPr>
              <w:pStyle w:val="MdTableCell"/>
            </w:pPr>
            <w:r>
              <w:t xml:space="preserve">Commissioning manager</w:t>
            </w:r>
          </w:p>
        </w:tc>
        <w:tc>
          <w:tcPr>
            <w:tcBorders>
              <w:right w:val="none"/>
            </w:tcBorders>
            <w:tcMar>
              <w:top w:type="dxa" w:w="80"/>
              <w:left w:type="dxa" w:w="120"/>
              <w:bottom w:type="dxa" w:w="80"/>
              <w:right w:type="dxa" w:w="120"/>
            </w:tcMar>
            <w:vAlign w:val="center"/>
          </w:tcPr>
          <w:p>
            <w:pPr>
              <w:pStyle w:val="MdTableCell"/>
            </w:pPr>
            <w:r>
              <w:t xml:space="preserve">Attendance, materials, competence confirmation and open questions recorded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D-15</w:t>
            </w:r>
          </w:p>
        </w:tc>
        <w:tc>
          <w:tcPr>
            <w:tcMar>
              <w:top w:type="dxa" w:w="80"/>
              <w:left w:type="dxa" w:w="120"/>
              <w:bottom w:type="dxa" w:w="80"/>
              <w:right w:type="dxa" w:w="120"/>
            </w:tcMar>
            <w:vAlign w:val="center"/>
          </w:tcPr>
          <w:p>
            <w:pPr>
              <w:pStyle w:val="MdTableCell"/>
            </w:pPr>
            <w:r>
              <w:t xml:space="preserve">Hand over keys, access cards, BMS credentials, drawings and data</w:t>
            </w:r>
          </w:p>
        </w:tc>
        <w:tc>
          <w:tcPr>
            <w:tcMar>
              <w:top w:type="dxa" w:w="80"/>
              <w:left w:type="dxa" w:w="120"/>
              <w:bottom w:type="dxa" w:w="80"/>
              <w:right w:type="dxa" w:w="120"/>
            </w:tcMar>
            <w:vAlign w:val="center"/>
          </w:tcPr>
          <w:p>
            <w:pPr>
              <w:pStyle w:val="MdTableCell"/>
            </w:pPr>
            <w:r>
              <w:t xml:space="preserve">On acceptance</w:t>
            </w:r>
          </w:p>
        </w:tc>
        <w:tc>
          <w:tcPr>
            <w:tcMar>
              <w:top w:type="dxa" w:w="80"/>
              <w:left w:type="dxa" w:w="120"/>
              <w:bottom w:type="dxa" w:w="80"/>
              <w:right w:type="dxa" w:w="120"/>
            </w:tcMar>
            <w:vAlign w:val="center"/>
          </w:tcPr>
          <w:p>
            <w:pPr>
              <w:pStyle w:val="MdTableCell"/>
            </w:pPr>
            <w:r>
              <w:t xml:space="preserve">Project manager + client representative</w:t>
            </w:r>
          </w:p>
        </w:tc>
        <w:tc>
          <w:tcPr>
            <w:tcBorders>
              <w:right w:val="none"/>
            </w:tcBorders>
            <w:tcMar>
              <w:top w:type="dxa" w:w="80"/>
              <w:left w:type="dxa" w:w="120"/>
              <w:bottom w:type="dxa" w:w="80"/>
              <w:right w:type="dxa" w:w="120"/>
            </w:tcMar>
            <w:vAlign w:val="center"/>
          </w:tcPr>
          <w:p>
            <w:pPr>
              <w:pStyle w:val="MdTableCell"/>
            </w:pPr>
            <w:r>
              <w:t xml:space="preserve">Controlled asset/access transfer record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D-16</w:t>
            </w:r>
          </w:p>
        </w:tc>
        <w:tc>
          <w:tcPr>
            <w:tcMar>
              <w:top w:type="dxa" w:w="80"/>
              <w:left w:type="dxa" w:w="120"/>
              <w:bottom w:type="dxa" w:w="80"/>
              <w:right w:type="dxa" w:w="120"/>
            </w:tcMar>
            <w:vAlign w:val="center"/>
          </w:tcPr>
          <w:p>
            <w:pPr>
              <w:pStyle w:val="MdTableCell"/>
            </w:pPr>
            <w:r>
              <w:t xml:space="preserve">Record residual risks and outstanding work</w:t>
            </w:r>
          </w:p>
        </w:tc>
        <w:tc>
          <w:tcPr>
            <w:tcMar>
              <w:top w:type="dxa" w:w="80"/>
              <w:left w:type="dxa" w:w="120"/>
              <w:bottom w:type="dxa" w:w="80"/>
              <w:right w:type="dxa" w:w="120"/>
            </w:tcMar>
            <w:vAlign w:val="center"/>
          </w:tcPr>
          <w:p>
            <w:pPr>
              <w:pStyle w:val="MdTableCell"/>
            </w:pPr>
            <w:r>
              <w:t xml:space="preserve">At provisional/conditional handover if needed</w:t>
            </w:r>
          </w:p>
        </w:tc>
        <w:tc>
          <w:tcPr>
            <w:tcMar>
              <w:top w:type="dxa" w:w="80"/>
              <w:left w:type="dxa" w:w="120"/>
              <w:bottom w:type="dxa" w:w="80"/>
              <w:right w:type="dxa" w:w="120"/>
            </w:tcMar>
            <w:vAlign w:val="center"/>
          </w:tcPr>
          <w:p>
            <w:pPr>
              <w:pStyle w:val="MdTableCell"/>
            </w:pPr>
            <w:r>
              <w:t xml:space="preserve">Project manager + HSE manager</w:t>
            </w:r>
          </w:p>
        </w:tc>
        <w:tc>
          <w:tcPr>
            <w:tcBorders>
              <w:right w:val="none"/>
            </w:tcBorders>
            <w:tcMar>
              <w:top w:type="dxa" w:w="80"/>
              <w:left w:type="dxa" w:w="120"/>
              <w:bottom w:type="dxa" w:w="80"/>
              <w:right w:type="dxa" w:w="120"/>
            </w:tcMar>
            <w:vAlign w:val="center"/>
          </w:tcPr>
          <w:p>
            <w:pPr>
              <w:pStyle w:val="MdTableCell"/>
            </w:pPr>
            <w:r>
              <w:t xml:space="preserve">Owner receives clear controls, due dates and parties responsible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D-17</w:t>
            </w:r>
          </w:p>
        </w:tc>
        <w:tc>
          <w:tcPr>
            <w:tcMar>
              <w:top w:type="dxa" w:w="80"/>
              <w:left w:type="dxa" w:w="120"/>
              <w:bottom w:type="dxa" w:w="80"/>
              <w:right w:type="dxa" w:w="120"/>
            </w:tcMar>
            <w:vAlign w:val="center"/>
          </w:tcPr>
          <w:p>
            <w:pPr>
              <w:pStyle w:val="MdTableCell"/>
            </w:pPr>
            <w:r>
              <w:t xml:space="preserve">Approve demobilisation plan</w:t>
            </w:r>
          </w:p>
        </w:tc>
        <w:tc>
          <w:tcPr>
            <w:tcMar>
              <w:top w:type="dxa" w:w="80"/>
              <w:left w:type="dxa" w:w="120"/>
              <w:bottom w:type="dxa" w:w="80"/>
              <w:right w:type="dxa" w:w="120"/>
            </w:tcMar>
            <w:vAlign w:val="center"/>
          </w:tcPr>
          <w:p>
            <w:pPr>
              <w:pStyle w:val="MdTableCell"/>
            </w:pPr>
            <w:r>
              <w:t xml:space="preserve">Before removal begins</w:t>
            </w:r>
          </w:p>
        </w:tc>
        <w:tc>
          <w:tcPr>
            <w:tcMar>
              <w:top w:type="dxa" w:w="80"/>
              <w:left w:type="dxa" w:w="120"/>
              <w:bottom w:type="dxa" w:w="80"/>
              <w:right w:type="dxa" w:w="120"/>
            </w:tcMar>
            <w:vAlign w:val="center"/>
          </w:tcPr>
          <w:p>
            <w:pPr>
              <w:pStyle w:val="MdTableCell"/>
            </w:pPr>
            <w:r>
              <w:t xml:space="preserve">Construction/HSE manager</w:t>
            </w:r>
          </w:p>
        </w:tc>
        <w:tc>
          <w:tcPr>
            <w:tcBorders>
              <w:right w:val="none"/>
            </w:tcBorders>
            <w:tcMar>
              <w:top w:type="dxa" w:w="80"/>
              <w:left w:type="dxa" w:w="120"/>
              <w:bottom w:type="dxa" w:w="80"/>
              <w:right w:type="dxa" w:w="120"/>
            </w:tcMar>
            <w:vAlign w:val="center"/>
          </w:tcPr>
          <w:p>
            <w:pPr>
              <w:pStyle w:val="MdTableCell"/>
            </w:pPr>
            <w:r>
              <w:t xml:space="preserve">Safe removal sequence, traffic plan, lifting plan, utility isolations and emergency controls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D-18</w:t>
            </w:r>
          </w:p>
        </w:tc>
        <w:tc>
          <w:tcPr>
            <w:tcMar>
              <w:top w:type="dxa" w:w="80"/>
              <w:left w:type="dxa" w:w="120"/>
              <w:bottom w:type="dxa" w:w="80"/>
              <w:right w:type="dxa" w:w="120"/>
            </w:tcMar>
            <w:vAlign w:val="center"/>
          </w:tcPr>
          <w:p>
            <w:pPr>
              <w:pStyle w:val="MdTableCell"/>
            </w:pPr>
            <w:r>
              <w:t xml:space="preserve">Isolate, disconnect and certify temporary services</w:t>
            </w:r>
          </w:p>
        </w:tc>
        <w:tc>
          <w:tcPr>
            <w:tcMar>
              <w:top w:type="dxa" w:w="80"/>
              <w:left w:type="dxa" w:w="120"/>
              <w:bottom w:type="dxa" w:w="80"/>
              <w:right w:type="dxa" w:w="120"/>
            </w:tcMar>
            <w:vAlign w:val="center"/>
          </w:tcPr>
          <w:p>
            <w:pPr>
              <w:pStyle w:val="MdTableCell"/>
            </w:pPr>
            <w:r>
              <w:t xml:space="preserve">Before removing temporary equipment</w:t>
            </w:r>
          </w:p>
        </w:tc>
        <w:tc>
          <w:tcPr>
            <w:tcMar>
              <w:top w:type="dxa" w:w="80"/>
              <w:left w:type="dxa" w:w="120"/>
              <w:bottom w:type="dxa" w:w="80"/>
              <w:right w:type="dxa" w:w="120"/>
            </w:tcMar>
            <w:vAlign w:val="center"/>
          </w:tcPr>
          <w:p>
            <w:pPr>
              <w:pStyle w:val="MdTableCell"/>
            </w:pPr>
            <w:r>
              <w:t xml:space="preserve">MEP manager</w:t>
            </w:r>
          </w:p>
        </w:tc>
        <w:tc>
          <w:tcPr>
            <w:tcBorders>
              <w:right w:val="none"/>
            </w:tcBorders>
            <w:tcMar>
              <w:top w:type="dxa" w:w="80"/>
              <w:left w:type="dxa" w:w="120"/>
              <w:bottom w:type="dxa" w:w="80"/>
              <w:right w:type="dxa" w:w="120"/>
            </w:tcMar>
            <w:vAlign w:val="center"/>
          </w:tcPr>
          <w:p>
            <w:pPr>
              <w:pStyle w:val="MdTableCell"/>
            </w:pPr>
            <w:r>
              <w:t xml:space="preserve">No live temporary system, uncontrolled energy or abandoned connection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D-19</w:t>
            </w:r>
          </w:p>
        </w:tc>
        <w:tc>
          <w:tcPr>
            <w:tcMar>
              <w:top w:type="dxa" w:w="80"/>
              <w:left w:type="dxa" w:w="120"/>
              <w:bottom w:type="dxa" w:w="80"/>
              <w:right w:type="dxa" w:w="120"/>
            </w:tcMar>
            <w:vAlign w:val="center"/>
          </w:tcPr>
          <w:p>
            <w:pPr>
              <w:pStyle w:val="MdTableCell"/>
            </w:pPr>
            <w:r>
              <w:t xml:space="preserve">Remove temporary works, welfare, plant and materials safely</w:t>
            </w:r>
          </w:p>
        </w:tc>
        <w:tc>
          <w:tcPr>
            <w:tcMar>
              <w:top w:type="dxa" w:w="80"/>
              <w:left w:type="dxa" w:w="120"/>
              <w:bottom w:type="dxa" w:w="80"/>
              <w:right w:type="dxa" w:w="120"/>
            </w:tcMar>
            <w:vAlign w:val="center"/>
          </w:tcPr>
          <w:p>
            <w:pPr>
              <w:pStyle w:val="MdTableCell"/>
            </w:pPr>
            <w:r>
              <w:t xml:space="preserve">During demobilisation</w:t>
            </w:r>
          </w:p>
        </w:tc>
        <w:tc>
          <w:tcPr>
            <w:tcMar>
              <w:top w:type="dxa" w:w="80"/>
              <w:left w:type="dxa" w:w="120"/>
              <w:bottom w:type="dxa" w:w="80"/>
              <w:right w:type="dxa" w:w="120"/>
            </w:tcMar>
            <w:vAlign w:val="center"/>
          </w:tcPr>
          <w:p>
            <w:pPr>
              <w:pStyle w:val="MdTableCell"/>
            </w:pPr>
            <w:r>
              <w:t xml:space="preserve">Construction manager</w:t>
            </w:r>
          </w:p>
        </w:tc>
        <w:tc>
          <w:tcPr>
            <w:tcBorders>
              <w:right w:val="none"/>
            </w:tcBorders>
            <w:tcMar>
              <w:top w:type="dxa" w:w="80"/>
              <w:left w:type="dxa" w:w="120"/>
              <w:bottom w:type="dxa" w:w="80"/>
              <w:right w:type="dxa" w:w="120"/>
            </w:tcMar>
            <w:vAlign w:val="center"/>
          </w:tcPr>
          <w:p>
            <w:pPr>
              <w:pStyle w:val="MdTableCell"/>
            </w:pPr>
            <w:r>
              <w:t xml:space="preserve">Site remains safe, secure and publicly protected throughout removal</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D-20</w:t>
            </w:r>
          </w:p>
        </w:tc>
        <w:tc>
          <w:tcPr>
            <w:tcMar>
              <w:top w:type="dxa" w:w="80"/>
              <w:left w:type="dxa" w:w="120"/>
              <w:bottom w:type="dxa" w:w="80"/>
              <w:right w:type="dxa" w:w="120"/>
            </w:tcMar>
            <w:vAlign w:val="center"/>
          </w:tcPr>
          <w:p>
            <w:pPr>
              <w:pStyle w:val="MdTableCell"/>
            </w:pPr>
            <w:r>
              <w:t xml:space="preserve">Dispose of waste and hazardous materials through approved channels</w:t>
            </w:r>
          </w:p>
        </w:tc>
        <w:tc>
          <w:tcPr>
            <w:tcMar>
              <w:top w:type="dxa" w:w="80"/>
              <w:left w:type="dxa" w:w="120"/>
              <w:bottom w:type="dxa" w:w="80"/>
              <w:right w:type="dxa" w:w="120"/>
            </w:tcMar>
            <w:vAlign w:val="center"/>
          </w:tcPr>
          <w:p>
            <w:pPr>
              <w:pStyle w:val="MdTableCell"/>
            </w:pPr>
            <w:r>
              <w:t xml:space="preserve">During demobilisation</w:t>
            </w:r>
          </w:p>
        </w:tc>
        <w:tc>
          <w:tcPr>
            <w:tcMar>
              <w:top w:type="dxa" w:w="80"/>
              <w:left w:type="dxa" w:w="120"/>
              <w:bottom w:type="dxa" w:w="80"/>
              <w:right w:type="dxa" w:w="120"/>
            </w:tcMar>
            <w:vAlign w:val="center"/>
          </w:tcPr>
          <w:p>
            <w:pPr>
              <w:pStyle w:val="MdTableCell"/>
            </w:pPr>
            <w:r>
              <w:t xml:space="preserve">Environmental manager</w:t>
            </w:r>
          </w:p>
        </w:tc>
        <w:tc>
          <w:tcPr>
            <w:tcBorders>
              <w:right w:val="none"/>
            </w:tcBorders>
            <w:tcMar>
              <w:top w:type="dxa" w:w="80"/>
              <w:left w:type="dxa" w:w="120"/>
              <w:bottom w:type="dxa" w:w="80"/>
              <w:right w:type="dxa" w:w="120"/>
            </w:tcMar>
            <w:vAlign w:val="center"/>
          </w:tcPr>
          <w:p>
            <w:pPr>
              <w:pStyle w:val="MdTableCell"/>
            </w:pPr>
            <w:r>
              <w:t xml:space="preserve">Waste transfer records and environmental closure evidence retained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D-21</w:t>
            </w:r>
          </w:p>
        </w:tc>
        <w:tc>
          <w:tcPr>
            <w:tcMar>
              <w:top w:type="dxa" w:w="80"/>
              <w:left w:type="dxa" w:w="120"/>
              <w:bottom w:type="dxa" w:w="80"/>
              <w:right w:type="dxa" w:w="120"/>
            </w:tcMar>
            <w:vAlign w:val="center"/>
          </w:tcPr>
          <w:p>
            <w:pPr>
              <w:pStyle w:val="MdTableCell"/>
            </w:pPr>
            <w:r>
              <w:t xml:space="preserve">Reinstate roads, footpaths, landscaping and adjacent property as required</w:t>
            </w:r>
          </w:p>
        </w:tc>
        <w:tc>
          <w:tcPr>
            <w:tcMar>
              <w:top w:type="dxa" w:w="80"/>
              <w:left w:type="dxa" w:w="120"/>
              <w:bottom w:type="dxa" w:w="80"/>
              <w:right w:type="dxa" w:w="120"/>
            </w:tcMar>
            <w:vAlign w:val="center"/>
          </w:tcPr>
          <w:p>
            <w:pPr>
              <w:pStyle w:val="MdTableCell"/>
            </w:pPr>
            <w:r>
              <w:t xml:space="preserve">Before final release</w:t>
            </w:r>
          </w:p>
        </w:tc>
        <w:tc>
          <w:tcPr>
            <w:tcMar>
              <w:top w:type="dxa" w:w="80"/>
              <w:left w:type="dxa" w:w="120"/>
              <w:bottom w:type="dxa" w:w="80"/>
              <w:right w:type="dxa" w:w="120"/>
            </w:tcMar>
            <w:vAlign w:val="center"/>
          </w:tcPr>
          <w:p>
            <w:pPr>
              <w:pStyle w:val="MdTableCell"/>
            </w:pPr>
            <w:r>
              <w:t xml:space="preserve">Construction manager</w:t>
            </w:r>
          </w:p>
        </w:tc>
        <w:tc>
          <w:tcPr>
            <w:tcBorders>
              <w:right w:val="none"/>
            </w:tcBorders>
            <w:tcMar>
              <w:top w:type="dxa" w:w="80"/>
              <w:left w:type="dxa" w:w="120"/>
              <w:bottom w:type="dxa" w:w="80"/>
              <w:right w:type="dxa" w:w="120"/>
            </w:tcMar>
            <w:vAlign w:val="center"/>
          </w:tcPr>
          <w:p>
            <w:pPr>
              <w:pStyle w:val="MdTableCell"/>
            </w:pPr>
            <w:r>
              <w:t xml:space="preserve">Client/developer accepts reinstatement condition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D-22</w:t>
            </w:r>
          </w:p>
        </w:tc>
        <w:tc>
          <w:tcPr>
            <w:tcMar>
              <w:top w:type="dxa" w:w="80"/>
              <w:left w:type="dxa" w:w="120"/>
              <w:bottom w:type="dxa" w:w="80"/>
              <w:right w:type="dxa" w:w="120"/>
            </w:tcMar>
            <w:vAlign w:val="center"/>
          </w:tcPr>
          <w:p>
            <w:pPr>
              <w:pStyle w:val="MdTableCell"/>
            </w:pPr>
            <w:r>
              <w:t xml:space="preserve">Close site permits, authority accounts, access permissions and registers</w:t>
            </w:r>
          </w:p>
        </w:tc>
        <w:tc>
          <w:tcPr>
            <w:tcMar>
              <w:top w:type="dxa" w:w="80"/>
              <w:left w:type="dxa" w:w="120"/>
              <w:bottom w:type="dxa" w:w="80"/>
              <w:right w:type="dxa" w:w="120"/>
            </w:tcMar>
            <w:vAlign w:val="center"/>
          </w:tcPr>
          <w:p>
            <w:pPr>
              <w:pStyle w:val="MdTableCell"/>
            </w:pPr>
            <w:r>
              <w:t xml:space="preserve">Final demobilisation</w:t>
            </w:r>
          </w:p>
        </w:tc>
        <w:tc>
          <w:tcPr>
            <w:tcMar>
              <w:top w:type="dxa" w:w="80"/>
              <w:left w:type="dxa" w:w="120"/>
              <w:bottom w:type="dxa" w:w="80"/>
              <w:right w:type="dxa" w:w="120"/>
            </w:tcMar>
            <w:vAlign w:val="center"/>
          </w:tcPr>
          <w:p>
            <w:pPr>
              <w:pStyle w:val="MdTableCell"/>
            </w:pPr>
            <w:r>
              <w:t xml:space="preserve">Project manager + document controller</w:t>
            </w:r>
          </w:p>
        </w:tc>
        <w:tc>
          <w:tcPr>
            <w:tcBorders>
              <w:right w:val="none"/>
            </w:tcBorders>
            <w:tcMar>
              <w:top w:type="dxa" w:w="80"/>
              <w:left w:type="dxa" w:w="120"/>
              <w:bottom w:type="dxa" w:w="80"/>
              <w:right w:type="dxa" w:w="120"/>
            </w:tcMar>
            <w:vAlign w:val="center"/>
          </w:tcPr>
          <w:p>
            <w:pPr>
              <w:pStyle w:val="MdTableCell"/>
            </w:pPr>
            <w:r>
              <w:t xml:space="preserve">No continuing liability from open permits, accounts or access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D-23</w:t>
            </w:r>
          </w:p>
        </w:tc>
        <w:tc>
          <w:tcPr>
            <w:tcMar>
              <w:top w:type="dxa" w:w="80"/>
              <w:left w:type="dxa" w:w="120"/>
              <w:bottom w:type="dxa" w:w="80"/>
              <w:right w:type="dxa" w:w="120"/>
            </w:tcMar>
            <w:vAlign w:val="center"/>
          </w:tcPr>
          <w:p>
            <w:pPr>
              <w:pStyle w:val="MdTableCell"/>
            </w:pPr>
            <w:r>
              <w:t xml:space="preserve">Archive the final project HSE/quality/authority record</w:t>
            </w:r>
          </w:p>
        </w:tc>
        <w:tc>
          <w:tcPr>
            <w:tcMar>
              <w:top w:type="dxa" w:w="80"/>
              <w:left w:type="dxa" w:w="120"/>
              <w:bottom w:type="dxa" w:w="80"/>
              <w:right w:type="dxa" w:w="120"/>
            </w:tcMar>
            <w:vAlign w:val="center"/>
          </w:tcPr>
          <w:p>
            <w:pPr>
              <w:pStyle w:val="MdTableCell"/>
            </w:pPr>
            <w:r>
              <w:t xml:space="preserve">At final handover</w:t>
            </w:r>
          </w:p>
        </w:tc>
        <w:tc>
          <w:tcPr>
            <w:tcMar>
              <w:top w:type="dxa" w:w="80"/>
              <w:left w:type="dxa" w:w="120"/>
              <w:bottom w:type="dxa" w:w="80"/>
              <w:right w:type="dxa" w:w="120"/>
            </w:tcMar>
            <w:vAlign w:val="center"/>
          </w:tcPr>
          <w:p>
            <w:pPr>
              <w:pStyle w:val="MdTableCell"/>
            </w:pPr>
            <w:r>
              <w:t xml:space="preserve">Document controller</w:t>
            </w:r>
          </w:p>
        </w:tc>
        <w:tc>
          <w:tcPr>
            <w:tcBorders>
              <w:right w:val="none"/>
            </w:tcBorders>
            <w:tcMar>
              <w:top w:type="dxa" w:w="80"/>
              <w:left w:type="dxa" w:w="120"/>
              <w:bottom w:type="dxa" w:w="80"/>
              <w:right w:type="dxa" w:w="120"/>
            </w:tcMar>
            <w:vAlign w:val="center"/>
          </w:tcPr>
          <w:p>
            <w:pPr>
              <w:pStyle w:val="MdTableCell"/>
            </w:pPr>
            <w:r>
              <w:t xml:space="preserve">Retention-ready, searchable audit trail</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D-24</w:t>
            </w:r>
          </w:p>
        </w:tc>
        <w:tc>
          <w:tcPr>
            <w:tcBorders>
              <w:bottom w:val="single" w:color="E1E4E8" w:sz="4"/>
            </w:tcBorders>
            <w:tcMar>
              <w:top w:type="dxa" w:w="80"/>
              <w:left w:type="dxa" w:w="120"/>
              <w:bottom w:type="dxa" w:w="80"/>
              <w:right w:type="dxa" w:w="120"/>
            </w:tcMar>
            <w:vAlign w:val="center"/>
          </w:tcPr>
          <w:p>
            <w:pPr>
              <w:pStyle w:val="MdTableCell"/>
            </w:pPr>
            <w:r>
              <w:t xml:space="preserve">Hold lessons-learned and final management review</w:t>
            </w:r>
          </w:p>
        </w:tc>
        <w:tc>
          <w:tcPr>
            <w:tcBorders>
              <w:bottom w:val="single" w:color="E1E4E8" w:sz="4"/>
            </w:tcBorders>
            <w:tcMar>
              <w:top w:type="dxa" w:w="80"/>
              <w:left w:type="dxa" w:w="120"/>
              <w:bottom w:type="dxa" w:w="80"/>
              <w:right w:type="dxa" w:w="120"/>
            </w:tcMar>
            <w:vAlign w:val="center"/>
          </w:tcPr>
          <w:p>
            <w:pPr>
              <w:pStyle w:val="MdTableCell"/>
            </w:pPr>
            <w:r>
              <w:t xml:space="preserve">Within 2–4 weeks after handover</w:t>
            </w:r>
          </w:p>
        </w:tc>
        <w:tc>
          <w:tcPr>
            <w:tcBorders>
              <w:bottom w:val="single" w:color="E1E4E8" w:sz="4"/>
            </w:tcBorders>
            <w:tcMar>
              <w:top w:type="dxa" w:w="80"/>
              <w:left w:type="dxa" w:w="120"/>
              <w:bottom w:type="dxa" w:w="80"/>
              <w:right w:type="dxa" w:w="120"/>
            </w:tcMar>
            <w:vAlign w:val="center"/>
          </w:tcPr>
          <w:p>
            <w:pPr>
              <w:pStyle w:val="MdTableCell"/>
            </w:pPr>
            <w:r>
              <w:t xml:space="preserve">Project director</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Improvement actions captured for the next mobilisation</w:t>
            </w:r>
          </w:p>
        </w:tc>
      </w:tr>
    </w:tbl>
    <w:p>
      <w:pPr>
        <w:pStyle w:val="Heading3"/>
        <w:pStyle w:val="MdHeading3"/>
      </w:pPr>
      <w:r>
        <w:t xml:space="preserve">Mandatory Ajman completion prompts</w:t>
      </w:r>
    </w:p>
    <w:p>
      <w:pPr>
        <w:pStyle w:val="MdParagraph"/>
      </w:pPr>
      <w:r>
        <w:t xml:space="preserve">If </w:t>
      </w:r>
      <w:r>
        <w:rPr>
          <w:rStyle w:val="MdStrong"/>
          <w:b/>
          <w:bCs/>
        </w:rPr>
        <w:t xml:space="preserve">Ajman mainland</w:t>
      </w:r>
      <w:r>
        <w:t xml:space="preserve"> is selected, the closeout checklist should not allow a completion-certificate request to be marked ready until it captures the items published by Ajman: sewerage-certified completion form, building inspection reports, roof-insulation warranty, Civil Defence preventive-safety compliance letter where applicable, Roads and Infrastructure clearance where applicable, Makani number, communications completion certificate, Ajman Police security-specification compliance and a valid building permit. </w:t>
      </w:r>
      <w:hyperlink w:history="1" r:id="rIdqtk6il8ykzbwyktyvpnpc">
        <w:r>
          <w:rPr>
            <w:rStyle w:val="MdLink"/>
          </w:rPr>
          <w:t xml:space="preserve">6</w:t>
        </w:r>
      </w:hyperlink>
    </w:p>
    <w:p>
      <w:pPr>
        <w:pStyle w:val="MdSpace"/>
        <w:spacing w:before="0" w:after="60"/>
      </w:pPr>
    </w:p>
    <w:p>
      <w:pPr>
        <w:pStyle w:val="MdParagraph"/>
      </w:pPr>
      <w:r>
        <w:t xml:space="preserve">For </w:t>
      </w:r>
      <w:r>
        <w:rPr>
          <w:rStyle w:val="MdStrong"/>
          <w:b/>
          <w:bCs/>
        </w:rPr>
        <w:t xml:space="preserve">Ras Al Khaimah</w:t>
      </w:r>
      <w:r>
        <w:t xml:space="preserve">, the completion checklist should include the official preliminary handover, Barjeel green-building evidence and Civil Defence achievement certificate for industrial, commercial, educational, investment and multi-storey buildings. RAK Municipality publishes a three-working-day completion-certificate delivery target after its process of relevant-authority review and engineer review; the dashboard must show this as an </w:t>
      </w:r>
      <w:r>
        <w:rPr>
          <w:rStyle w:val="MdStrong"/>
          <w:b/>
          <w:bCs/>
        </w:rPr>
        <w:t xml:space="preserve">authority target, not a guaranteed project duration</w:t>
      </w:r>
      <w:r>
        <w:t xml:space="preserve">. </w:t>
      </w:r>
      <w:hyperlink w:history="1" r:id="rIdwnz7hopqrexhwujaxyg1n">
        <w:r>
          <w:rPr>
            <w:rStyle w:val="MdLink"/>
          </w:rPr>
          <w:t xml:space="preserve">7</w:t>
        </w:r>
      </w:hyperlink>
    </w:p>
    <w:p>
      <w:pPr>
        <w:pStyle w:val="MdSpace"/>
        <w:spacing w:before="0" w:after="60"/>
      </w:pPr>
    </w:p>
    <w:p>
      <w:pPr>
        <w:pStyle w:val="Heading2"/>
        <w:pStyle w:val="MdHeading2"/>
      </w:pPr>
      <w:r>
        <w:t xml:space="preserve">5. Timeframe model for the page</w:t>
      </w:r>
    </w:p>
    <w:p>
      <w:pPr>
        <w:pStyle w:val="MdParagraph"/>
      </w:pPr>
      <w:r>
        <w:t xml:space="preserve">The product should show two distinct time fields: </w:t>
      </w:r>
      <w:r>
        <w:rPr>
          <w:rStyle w:val="MdStrong"/>
          <w:b/>
          <w:bCs/>
        </w:rPr>
        <w:t xml:space="preserve">published authority service target</w:t>
      </w:r>
      <w:r>
        <w:t xml:space="preserve"> and </w:t>
      </w:r>
      <w:r>
        <w:rPr>
          <w:rStyle w:val="MdStrong"/>
          <w:b/>
          <w:bCs/>
        </w:rPr>
        <w:t xml:space="preserve">project planning allowance</w:t>
      </w:r>
      <w:r>
        <w:t xml:space="preserve">. Never label a planning allowance as an authority commitment. The DDA Mobilization Permit page states a two-working-day delivery target and six-month validity, while RAK Municipality states three working days for its completion certificate; both remain conditional on a complete, compliant application and applicable inspection/review. </w:t>
      </w:r>
      <w:hyperlink w:history="1" r:id="rIdnpd45lpgictl3rfhq7mvv">
        <w:r>
          <w:rPr>
            <w:rStyle w:val="MdLink"/>
          </w:rPr>
          <w:t xml:space="preserve">2</w:t>
        </w:r>
      </w:hyperlink>
      <w:r>
        <w:t xml:space="preserve"> </w:t>
      </w:r>
      <w:hyperlink w:history="1" r:id="rIdao9uj5f0cyp_zzgdzzqvh">
        <w:r>
          <w:rPr>
            <w:rStyle w:val="MdLink"/>
          </w:rPr>
          <w:t xml:space="preserve">7</w:t>
        </w:r>
      </w:hyperlink>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Project phase</w:t>
            </w:r>
          </w:p>
        </w:tc>
        <w:tc>
          <w:tcPr>
            <w:tcMar>
              <w:top w:type="dxa" w:w="100"/>
              <w:left w:type="dxa" w:w="120"/>
              <w:bottom w:type="dxa" w:w="100"/>
              <w:right w:type="dxa" w:w="120"/>
            </w:tcMar>
            <w:vAlign w:val="center"/>
          </w:tcPr>
          <w:p>
            <w:pPr>
              <w:pStyle w:val="MdTableHeader"/>
            </w:pPr>
            <w:r>
              <w:t xml:space="preserve">Recommended planning window</w:t>
            </w:r>
          </w:p>
        </w:tc>
        <w:tc>
          <w:tcPr>
            <w:tcMar>
              <w:top w:type="dxa" w:w="100"/>
              <w:left w:type="dxa" w:w="120"/>
              <w:bottom w:type="dxa" w:w="100"/>
              <w:right w:type="dxa" w:w="120"/>
            </w:tcMar>
            <w:vAlign w:val="center"/>
          </w:tcPr>
          <w:p>
            <w:pPr>
              <w:pStyle w:val="MdTableHeader"/>
            </w:pPr>
            <w:r>
              <w:t xml:space="preserve">Main documents/actions to start</w:t>
            </w:r>
          </w:p>
        </w:tc>
        <w:tc>
          <w:tcPr>
            <w:tcBorders>
              <w:right w:val="none"/>
            </w:tcBorders>
            <w:tcMar>
              <w:top w:type="dxa" w:w="100"/>
              <w:left w:type="dxa" w:w="120"/>
              <w:bottom w:type="dxa" w:w="100"/>
              <w:right w:type="dxa" w:w="120"/>
            </w:tcMar>
            <w:vAlign w:val="center"/>
          </w:tcPr>
          <w:p>
            <w:pPr>
              <w:pStyle w:val="MdTableHeader"/>
            </w:pPr>
            <w:r>
              <w:t xml:space="preserve">Management warning to display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T-16 to T-12 weeks before Day One</w:t>
            </w:r>
          </w:p>
        </w:tc>
        <w:tc>
          <w:tcPr>
            <w:tcMar>
              <w:top w:type="dxa" w:w="80"/>
              <w:left w:type="dxa" w:w="120"/>
              <w:bottom w:type="dxa" w:w="80"/>
              <w:right w:type="dxa" w:w="120"/>
            </w:tcMar>
            <w:vAlign w:val="center"/>
          </w:tcPr>
          <w:p>
            <w:pPr>
              <w:pStyle w:val="MdTableCell"/>
            </w:pPr>
            <w:r>
              <w:t xml:space="preserve">Project setup</w:t>
            </w:r>
          </w:p>
        </w:tc>
        <w:tc>
          <w:tcPr>
            <w:tcMar>
              <w:top w:type="dxa" w:w="80"/>
              <w:left w:type="dxa" w:w="120"/>
              <w:bottom w:type="dxa" w:w="80"/>
              <w:right w:type="dxa" w:w="120"/>
            </w:tcMar>
            <w:vAlign w:val="center"/>
          </w:tcPr>
          <w:p>
            <w:pPr>
              <w:pStyle w:val="MdTableCell"/>
            </w:pPr>
            <w:r>
              <w:t xml:space="preserve">Jurisdiction decision; client/developer requirements; consultant/contractor appointments; authority register; preliminary design/plot data</w:t>
            </w:r>
          </w:p>
        </w:tc>
        <w:tc>
          <w:tcPr>
            <w:tcBorders>
              <w:right w:val="none"/>
            </w:tcBorders>
            <w:tcMar>
              <w:top w:type="dxa" w:w="80"/>
              <w:left w:type="dxa" w:w="120"/>
              <w:bottom w:type="dxa" w:w="80"/>
              <w:right w:type="dxa" w:w="120"/>
            </w:tcMar>
            <w:vAlign w:val="center"/>
          </w:tcPr>
          <w:p>
            <w:pPr>
              <w:pStyle w:val="MdTableCell"/>
            </w:pPr>
            <w:r>
              <w:t xml:space="preserve">“Do not procure site setup on the assumption that the municipal pathway applies.”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T-12 to T-8 weeks</w:t>
            </w:r>
          </w:p>
        </w:tc>
        <w:tc>
          <w:tcPr>
            <w:tcMar>
              <w:top w:type="dxa" w:w="80"/>
              <w:left w:type="dxa" w:w="120"/>
              <w:bottom w:type="dxa" w:w="80"/>
              <w:right w:type="dxa" w:w="120"/>
            </w:tcMar>
            <w:vAlign w:val="center"/>
          </w:tcPr>
          <w:p>
            <w:pPr>
              <w:pStyle w:val="MdTableCell"/>
            </w:pPr>
            <w:r>
              <w:t xml:space="preserve">Design and interface planning</w:t>
            </w:r>
          </w:p>
        </w:tc>
        <w:tc>
          <w:tcPr>
            <w:tcMar>
              <w:top w:type="dxa" w:w="80"/>
              <w:left w:type="dxa" w:w="120"/>
              <w:bottom w:type="dxa" w:w="80"/>
              <w:right w:type="dxa" w:w="120"/>
            </w:tcMar>
            <w:vAlign w:val="center"/>
          </w:tcPr>
          <w:p>
            <w:pPr>
              <w:pStyle w:val="MdTableCell"/>
            </w:pPr>
            <w:r>
              <w:t xml:space="preserve">Drawings, surveys, design coordination, fire concept, utility capacity/route requirements, road/traffic/environmental screening</w:t>
            </w:r>
          </w:p>
        </w:tc>
        <w:tc>
          <w:tcPr>
            <w:tcBorders>
              <w:right w:val="none"/>
            </w:tcBorders>
            <w:tcMar>
              <w:top w:type="dxa" w:w="80"/>
              <w:left w:type="dxa" w:w="120"/>
              <w:bottom w:type="dxa" w:w="80"/>
              <w:right w:type="dxa" w:w="120"/>
            </w:tcMar>
            <w:vAlign w:val="center"/>
          </w:tcPr>
          <w:p>
            <w:pPr>
              <w:pStyle w:val="MdTableCell"/>
            </w:pPr>
            <w:r>
              <w:t xml:space="preserve">“External NOCs may run in parallel but can still control the start date.”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T-8 to T-4 weeks</w:t>
            </w:r>
          </w:p>
        </w:tc>
        <w:tc>
          <w:tcPr>
            <w:tcMar>
              <w:top w:type="dxa" w:w="80"/>
              <w:left w:type="dxa" w:w="120"/>
              <w:bottom w:type="dxa" w:w="80"/>
              <w:right w:type="dxa" w:w="120"/>
            </w:tcMar>
            <w:vAlign w:val="center"/>
          </w:tcPr>
          <w:p>
            <w:pPr>
              <w:pStyle w:val="MdTableCell"/>
            </w:pPr>
            <w:r>
              <w:t xml:space="preserve">Authority and client submissions</w:t>
            </w:r>
          </w:p>
        </w:tc>
        <w:tc>
          <w:tcPr>
            <w:tcMar>
              <w:top w:type="dxa" w:w="80"/>
              <w:left w:type="dxa" w:w="120"/>
              <w:bottom w:type="dxa" w:w="80"/>
              <w:right w:type="dxa" w:w="120"/>
            </w:tcMar>
            <w:vAlign w:val="center"/>
          </w:tcPr>
          <w:p>
            <w:pPr>
              <w:pStyle w:val="MdTableCell"/>
            </w:pPr>
            <w:r>
              <w:t xml:space="preserve">Permit/NOC submissions; site layout; construction management plan; welfare and emergency plans; temporary utility requests</w:t>
            </w:r>
          </w:p>
        </w:tc>
        <w:tc>
          <w:tcPr>
            <w:tcBorders>
              <w:right w:val="none"/>
            </w:tcBorders>
            <w:tcMar>
              <w:top w:type="dxa" w:w="80"/>
              <w:left w:type="dxa" w:w="120"/>
              <w:bottom w:type="dxa" w:w="80"/>
              <w:right w:type="dxa" w:w="120"/>
            </w:tcMar>
            <w:vAlign w:val="center"/>
          </w:tcPr>
          <w:p>
            <w:pPr>
              <w:pStyle w:val="MdTableCell"/>
            </w:pPr>
            <w:r>
              <w:t xml:space="preserve">“A submission is not an approval. Record authority reference and comments.”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T-4 to T-2 weeks</w:t>
            </w:r>
          </w:p>
        </w:tc>
        <w:tc>
          <w:tcPr>
            <w:tcMar>
              <w:top w:type="dxa" w:w="80"/>
              <w:left w:type="dxa" w:w="120"/>
              <w:bottom w:type="dxa" w:w="80"/>
              <w:right w:type="dxa" w:w="120"/>
            </w:tcMar>
            <w:vAlign w:val="center"/>
          </w:tcPr>
          <w:p>
            <w:pPr>
              <w:pStyle w:val="MdTableCell"/>
            </w:pPr>
            <w:r>
              <w:t xml:space="preserve">Site-readiness confirmation</w:t>
            </w:r>
          </w:p>
        </w:tc>
        <w:tc>
          <w:tcPr>
            <w:tcMar>
              <w:top w:type="dxa" w:w="80"/>
              <w:left w:type="dxa" w:w="120"/>
              <w:bottom w:type="dxa" w:w="80"/>
              <w:right w:type="dxa" w:w="120"/>
            </w:tcMar>
            <w:vAlign w:val="center"/>
          </w:tcPr>
          <w:p>
            <w:pPr>
              <w:pStyle w:val="MdTableCell"/>
            </w:pPr>
            <w:r>
              <w:t xml:space="preserve">Approved drawings, site possession, access, hoarding/signboard permissions, temporary utilities, plant/workforce readiness</w:t>
            </w:r>
          </w:p>
        </w:tc>
        <w:tc>
          <w:tcPr>
            <w:tcBorders>
              <w:right w:val="none"/>
            </w:tcBorders>
            <w:tcMar>
              <w:top w:type="dxa" w:w="80"/>
              <w:left w:type="dxa" w:w="120"/>
              <w:bottom w:type="dxa" w:w="80"/>
              <w:right w:type="dxa" w:w="120"/>
            </w:tcMar>
            <w:vAlign w:val="center"/>
          </w:tcPr>
          <w:p>
            <w:pPr>
              <w:pStyle w:val="MdTableCell"/>
            </w:pPr>
            <w:r>
              <w:t xml:space="preserve">“Day One is blocked until the critical permit and safety gates are confirmed.”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T-2 weeks to Day One</w:t>
            </w:r>
          </w:p>
        </w:tc>
        <w:tc>
          <w:tcPr>
            <w:tcMar>
              <w:top w:type="dxa" w:w="80"/>
              <w:left w:type="dxa" w:w="120"/>
              <w:bottom w:type="dxa" w:w="80"/>
              <w:right w:type="dxa" w:w="120"/>
            </w:tcMar>
            <w:vAlign w:val="center"/>
          </w:tcPr>
          <w:p>
            <w:pPr>
              <w:pStyle w:val="MdTableCell"/>
            </w:pPr>
            <w:r>
              <w:t xml:space="preserve">Controlled mobilisation</w:t>
            </w:r>
          </w:p>
        </w:tc>
        <w:tc>
          <w:tcPr>
            <w:tcMar>
              <w:top w:type="dxa" w:w="80"/>
              <w:left w:type="dxa" w:w="120"/>
              <w:bottom w:type="dxa" w:w="80"/>
              <w:right w:type="dxa" w:w="120"/>
            </w:tcMar>
            <w:vAlign w:val="center"/>
          </w:tcPr>
          <w:p>
            <w:pPr>
              <w:pStyle w:val="MdTableCell"/>
            </w:pPr>
            <w:r>
              <w:t xml:space="preserve">Inductions, RAMS, equipment certificates, emergency drill, site setup inspection, client Day-One meeting</w:t>
            </w:r>
          </w:p>
        </w:tc>
        <w:tc>
          <w:tcPr>
            <w:tcBorders>
              <w:right w:val="none"/>
            </w:tcBorders>
            <w:tcMar>
              <w:top w:type="dxa" w:w="80"/>
              <w:left w:type="dxa" w:w="120"/>
              <w:bottom w:type="dxa" w:w="80"/>
              <w:right w:type="dxa" w:w="120"/>
            </w:tcMar>
            <w:vAlign w:val="center"/>
          </w:tcPr>
          <w:p>
            <w:pPr>
              <w:pStyle w:val="MdTableCell"/>
            </w:pPr>
            <w:r>
              <w:t xml:space="preserve">“Use a signed go/no-go record; attach exceptions and risk controls.”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12–16 weeks before planned handover</w:t>
            </w:r>
          </w:p>
        </w:tc>
        <w:tc>
          <w:tcPr>
            <w:tcMar>
              <w:top w:type="dxa" w:w="80"/>
              <w:left w:type="dxa" w:w="120"/>
              <w:bottom w:type="dxa" w:w="80"/>
              <w:right w:type="dxa" w:w="120"/>
            </w:tcMar>
            <w:vAlign w:val="center"/>
          </w:tcPr>
          <w:p>
            <w:pPr>
              <w:pStyle w:val="MdTableCell"/>
            </w:pPr>
            <w:r>
              <w:t xml:space="preserve">Closeout mobilisation</w:t>
            </w:r>
          </w:p>
        </w:tc>
        <w:tc>
          <w:tcPr>
            <w:tcMar>
              <w:top w:type="dxa" w:w="80"/>
              <w:left w:type="dxa" w:w="120"/>
              <w:bottom w:type="dxa" w:w="80"/>
              <w:right w:type="dxa" w:w="120"/>
            </w:tcMar>
            <w:vAlign w:val="center"/>
          </w:tcPr>
          <w:p>
            <w:pPr>
              <w:pStyle w:val="MdTableCell"/>
            </w:pPr>
            <w:r>
              <w:t xml:space="preserve">Completion-path workshop; as-built programme; T&amp;C/witness schedule; utility/final clearance tracker; closeout document register</w:t>
            </w:r>
          </w:p>
        </w:tc>
        <w:tc>
          <w:tcPr>
            <w:tcBorders>
              <w:right w:val="none"/>
            </w:tcBorders>
            <w:tcMar>
              <w:top w:type="dxa" w:w="80"/>
              <w:left w:type="dxa" w:w="120"/>
              <w:bottom w:type="dxa" w:w="80"/>
              <w:right w:type="dxa" w:w="120"/>
            </w:tcMar>
            <w:vAlign w:val="center"/>
          </w:tcPr>
          <w:p>
            <w:pPr>
              <w:pStyle w:val="MdTableCell"/>
            </w:pPr>
            <w:r>
              <w:t xml:space="preserve">“Physical progress is not handover readiness.”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8–4 weeks before handover</w:t>
            </w:r>
          </w:p>
        </w:tc>
        <w:tc>
          <w:tcPr>
            <w:tcMar>
              <w:top w:type="dxa" w:w="80"/>
              <w:left w:type="dxa" w:w="120"/>
              <w:bottom w:type="dxa" w:w="80"/>
              <w:right w:type="dxa" w:w="120"/>
            </w:tcMar>
            <w:vAlign w:val="center"/>
          </w:tcPr>
          <w:p>
            <w:pPr>
              <w:pStyle w:val="MdTableCell"/>
            </w:pPr>
            <w:r>
              <w:t xml:space="preserve">Testing, clearance and client readiness</w:t>
            </w:r>
          </w:p>
        </w:tc>
        <w:tc>
          <w:tcPr>
            <w:tcMar>
              <w:top w:type="dxa" w:w="80"/>
              <w:left w:type="dxa" w:w="120"/>
              <w:bottom w:type="dxa" w:w="80"/>
              <w:right w:type="dxa" w:w="120"/>
            </w:tcMar>
            <w:vAlign w:val="center"/>
          </w:tcPr>
          <w:p>
            <w:pPr>
              <w:pStyle w:val="MdTableCell"/>
            </w:pPr>
            <w:r>
              <w:t xml:space="preserve">Test certificates, O&amp;M manuals, warranties, client training, authority inspections, snag closeout</w:t>
            </w:r>
          </w:p>
        </w:tc>
        <w:tc>
          <w:tcPr>
            <w:tcBorders>
              <w:right w:val="none"/>
            </w:tcBorders>
            <w:tcMar>
              <w:top w:type="dxa" w:w="80"/>
              <w:left w:type="dxa" w:w="120"/>
              <w:bottom w:type="dxa" w:w="80"/>
              <w:right w:type="dxa" w:w="120"/>
            </w:tcMar>
            <w:vAlign w:val="center"/>
          </w:tcPr>
          <w:p>
            <w:pPr>
              <w:pStyle w:val="MdTableCell"/>
            </w:pPr>
            <w:r>
              <w:t xml:space="preserve">“Missing authority or utility clearance can delay operational handover.”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2 weeks before to handover</w:t>
            </w:r>
          </w:p>
        </w:tc>
        <w:tc>
          <w:tcPr>
            <w:tcMar>
              <w:top w:type="dxa" w:w="80"/>
              <w:left w:type="dxa" w:w="120"/>
              <w:bottom w:type="dxa" w:w="80"/>
              <w:right w:type="dxa" w:w="120"/>
            </w:tcMar>
            <w:vAlign w:val="center"/>
          </w:tcPr>
          <w:p>
            <w:pPr>
              <w:pStyle w:val="MdTableCell"/>
            </w:pPr>
            <w:r>
              <w:t xml:space="preserve">Acceptance and demobilisation readiness</w:t>
            </w:r>
          </w:p>
        </w:tc>
        <w:tc>
          <w:tcPr>
            <w:tcMar>
              <w:top w:type="dxa" w:w="80"/>
              <w:left w:type="dxa" w:w="120"/>
              <w:bottom w:type="dxa" w:w="80"/>
              <w:right w:type="dxa" w:w="120"/>
            </w:tcMar>
            <w:vAlign w:val="center"/>
          </w:tcPr>
          <w:p>
            <w:pPr>
              <w:pStyle w:val="MdTableCell"/>
            </w:pPr>
            <w:r>
              <w:t xml:space="preserve">Joint inspection, final dossier, key/data transfer, residual risk register, temporary works and removal plan</w:t>
            </w:r>
          </w:p>
        </w:tc>
        <w:tc>
          <w:tcPr>
            <w:tcBorders>
              <w:right w:val="none"/>
            </w:tcBorders>
            <w:tcMar>
              <w:top w:type="dxa" w:w="80"/>
              <w:left w:type="dxa" w:w="120"/>
              <w:bottom w:type="dxa" w:w="80"/>
              <w:right w:type="dxa" w:w="120"/>
            </w:tcMar>
            <w:vAlign w:val="center"/>
          </w:tcPr>
          <w:p>
            <w:pPr>
              <w:pStyle w:val="MdTableCell"/>
            </w:pPr>
            <w:r>
              <w:t xml:space="preserve">“Client acceptance, completion certification and demobilisation must be separately tracked.”</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After handover</w:t>
            </w:r>
          </w:p>
        </w:tc>
        <w:tc>
          <w:tcPr>
            <w:tcBorders>
              <w:bottom w:val="single" w:color="E1E4E8" w:sz="4"/>
            </w:tcBorders>
            <w:tcMar>
              <w:top w:type="dxa" w:w="80"/>
              <w:left w:type="dxa" w:w="120"/>
              <w:bottom w:type="dxa" w:w="80"/>
              <w:right w:type="dxa" w:w="120"/>
            </w:tcMar>
            <w:vAlign w:val="center"/>
          </w:tcPr>
          <w:p>
            <w:pPr>
              <w:pStyle w:val="MdTableCell"/>
            </w:pPr>
            <w:r>
              <w:t xml:space="preserve">Safe closeout</w:t>
            </w:r>
          </w:p>
        </w:tc>
        <w:tc>
          <w:tcPr>
            <w:tcBorders>
              <w:bottom w:val="single" w:color="E1E4E8" w:sz="4"/>
            </w:tcBorders>
            <w:tcMar>
              <w:top w:type="dxa" w:w="80"/>
              <w:left w:type="dxa" w:w="120"/>
              <w:bottom w:type="dxa" w:w="80"/>
              <w:right w:type="dxa" w:w="120"/>
            </w:tcMar>
            <w:vAlign w:val="center"/>
          </w:tcPr>
          <w:p>
            <w:pPr>
              <w:pStyle w:val="MdTableCell"/>
            </w:pPr>
            <w:r>
              <w:t xml:space="preserve">Demobilisation, reinstatement, permits/accounts closure, archive, defects/warranty route and lessons learned</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“Do not remove controls or archive evidence until client/authority obligations are complete.”</w:t>
            </w:r>
          </w:p>
        </w:tc>
      </w:tr>
    </w:tbl>
    <w:p>
      <w:pPr>
        <w:pStyle w:val="Heading2"/>
        <w:pStyle w:val="MdHeading2"/>
      </w:pPr>
      <w:r>
        <w:t xml:space="preserve">6. Management dashboard and escalation logic</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Dashboard measure</w:t>
            </w:r>
          </w:p>
        </w:tc>
        <w:tc>
          <w:tcPr>
            <w:tcMar>
              <w:top w:type="dxa" w:w="100"/>
              <w:left w:type="dxa" w:w="120"/>
              <w:bottom w:type="dxa" w:w="100"/>
              <w:right w:type="dxa" w:w="120"/>
            </w:tcMar>
            <w:vAlign w:val="center"/>
          </w:tcPr>
          <w:p>
            <w:pPr>
              <w:pStyle w:val="MdTableHeader"/>
            </w:pPr>
            <w:r>
              <w:t xml:space="preserve">Definition</w:t>
            </w:r>
          </w:p>
        </w:tc>
        <w:tc>
          <w:tcPr>
            <w:tcBorders>
              <w:right w:val="none"/>
            </w:tcBorders>
            <w:tcMar>
              <w:top w:type="dxa" w:w="100"/>
              <w:left w:type="dxa" w:w="120"/>
              <w:bottom w:type="dxa" w:w="100"/>
              <w:right w:type="dxa" w:w="120"/>
            </w:tcMar>
            <w:vAlign w:val="center"/>
          </w:tcPr>
          <w:p>
            <w:pPr>
              <w:pStyle w:val="MdTableHeader"/>
            </w:pPr>
            <w:r>
              <w:t xml:space="preserve">Suggested alert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Day-One readiness</w:t>
            </w:r>
          </w:p>
        </w:tc>
        <w:tc>
          <w:tcPr>
            <w:tcMar>
              <w:top w:type="dxa" w:w="80"/>
              <w:left w:type="dxa" w:w="120"/>
              <w:bottom w:type="dxa" w:w="80"/>
              <w:right w:type="dxa" w:w="120"/>
            </w:tcMar>
            <w:vAlign w:val="center"/>
          </w:tcPr>
          <w:p>
            <w:pPr>
              <w:pStyle w:val="MdTableCell"/>
            </w:pPr>
            <w:r>
              <w:t xml:space="preserve">Critical mobilisation items complete ÷ total critical mobilisation items</w:t>
            </w:r>
          </w:p>
        </w:tc>
        <w:tc>
          <w:tcPr>
            <w:tcBorders>
              <w:right w:val="none"/>
            </w:tcBorders>
            <w:tcMar>
              <w:top w:type="dxa" w:w="80"/>
              <w:left w:type="dxa" w:w="120"/>
              <w:bottom w:type="dxa" w:w="80"/>
              <w:right w:type="dxa" w:w="120"/>
            </w:tcMar>
            <w:vAlign w:val="center"/>
          </w:tcPr>
          <w:p>
            <w:pPr>
              <w:pStyle w:val="MdTableCell"/>
            </w:pPr>
            <w:r>
              <w:t xml:space="preserve">Red if any authority/permit, site-access, emergency, temporary-power or welfare critical item is incomplete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Handover readiness</w:t>
            </w:r>
          </w:p>
        </w:tc>
        <w:tc>
          <w:tcPr>
            <w:tcMar>
              <w:top w:type="dxa" w:w="80"/>
              <w:left w:type="dxa" w:w="120"/>
              <w:bottom w:type="dxa" w:w="80"/>
              <w:right w:type="dxa" w:w="120"/>
            </w:tcMar>
            <w:vAlign w:val="center"/>
          </w:tcPr>
          <w:p>
            <w:pPr>
              <w:pStyle w:val="MdTableCell"/>
            </w:pPr>
            <w:r>
              <w:t xml:space="preserve">Required completion and client deliverables complete ÷ total required deliverables</w:t>
            </w:r>
          </w:p>
        </w:tc>
        <w:tc>
          <w:tcPr>
            <w:tcBorders>
              <w:right w:val="none"/>
            </w:tcBorders>
            <w:tcMar>
              <w:top w:type="dxa" w:w="80"/>
              <w:left w:type="dxa" w:w="120"/>
              <w:bottom w:type="dxa" w:w="80"/>
              <w:right w:type="dxa" w:w="120"/>
            </w:tcMar>
            <w:vAlign w:val="center"/>
          </w:tcPr>
          <w:p>
            <w:pPr>
              <w:pStyle w:val="MdTableCell"/>
            </w:pPr>
            <w:r>
              <w:t xml:space="preserve">Red if any authority/utility clearance, fire certificate, test report, as-built, O&amp;M manual or client acceptance item is overdue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Jurisdiction confirmed</w:t>
            </w:r>
          </w:p>
        </w:tc>
        <w:tc>
          <w:tcPr>
            <w:tcMar>
              <w:top w:type="dxa" w:w="80"/>
              <w:left w:type="dxa" w:w="120"/>
              <w:bottom w:type="dxa" w:w="80"/>
              <w:right w:type="dxa" w:w="120"/>
            </w:tcMar>
            <w:vAlign w:val="center"/>
          </w:tcPr>
          <w:p>
            <w:pPr>
              <w:pStyle w:val="MdTableCell"/>
            </w:pPr>
            <w:r>
              <w:t xml:space="preserve">Formal project jurisdiction decision recorded</w:t>
            </w:r>
          </w:p>
        </w:tc>
        <w:tc>
          <w:tcPr>
            <w:tcBorders>
              <w:right w:val="none"/>
            </w:tcBorders>
            <w:tcMar>
              <w:top w:type="dxa" w:w="80"/>
              <w:left w:type="dxa" w:w="120"/>
              <w:bottom w:type="dxa" w:w="80"/>
              <w:right w:type="dxa" w:w="120"/>
            </w:tcMar>
            <w:vAlign w:val="center"/>
          </w:tcPr>
          <w:p>
            <w:pPr>
              <w:pStyle w:val="MdTableCell"/>
            </w:pPr>
            <w:r>
              <w:t xml:space="preserve">Red until plot/development and controlling authority are confirmed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Authority submission health</w:t>
            </w:r>
          </w:p>
        </w:tc>
        <w:tc>
          <w:tcPr>
            <w:tcMar>
              <w:top w:type="dxa" w:w="80"/>
              <w:left w:type="dxa" w:w="120"/>
              <w:bottom w:type="dxa" w:w="80"/>
              <w:right w:type="dxa" w:w="120"/>
            </w:tcMar>
            <w:vAlign w:val="center"/>
          </w:tcPr>
          <w:p>
            <w:pPr>
              <w:pStyle w:val="MdTableCell"/>
            </w:pPr>
            <w:r>
              <w:t xml:space="preserve">Submitted items with no overdue response/comment action</w:t>
            </w:r>
          </w:p>
        </w:tc>
        <w:tc>
          <w:tcPr>
            <w:tcBorders>
              <w:right w:val="none"/>
            </w:tcBorders>
            <w:tcMar>
              <w:top w:type="dxa" w:w="80"/>
              <w:left w:type="dxa" w:w="120"/>
              <w:bottom w:type="dxa" w:w="80"/>
              <w:right w:type="dxa" w:w="120"/>
            </w:tcMar>
            <w:vAlign w:val="center"/>
          </w:tcPr>
          <w:p>
            <w:pPr>
              <w:pStyle w:val="MdTableCell"/>
            </w:pPr>
            <w:r>
              <w:t xml:space="preserve">Amber for response due within five working days; red for overdue response or resubmission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Evidence completeness</w:t>
            </w:r>
          </w:p>
        </w:tc>
        <w:tc>
          <w:tcPr>
            <w:tcMar>
              <w:top w:type="dxa" w:w="80"/>
              <w:left w:type="dxa" w:w="120"/>
              <w:bottom w:type="dxa" w:w="80"/>
              <w:right w:type="dxa" w:w="120"/>
            </w:tcMar>
            <w:vAlign w:val="center"/>
          </w:tcPr>
          <w:p>
            <w:pPr>
              <w:pStyle w:val="MdTableCell"/>
            </w:pPr>
            <w:r>
              <w:t xml:space="preserve">Checklist items with linked evidence and approval number where required</w:t>
            </w:r>
          </w:p>
        </w:tc>
        <w:tc>
          <w:tcPr>
            <w:tcBorders>
              <w:right w:val="none"/>
            </w:tcBorders>
            <w:tcMar>
              <w:top w:type="dxa" w:w="80"/>
              <w:left w:type="dxa" w:w="120"/>
              <w:bottom w:type="dxa" w:w="80"/>
              <w:right w:type="dxa" w:w="120"/>
            </w:tcMar>
            <w:vAlign w:val="center"/>
          </w:tcPr>
          <w:p>
            <w:pPr>
              <w:pStyle w:val="MdTableCell"/>
            </w:pPr>
            <w:r>
              <w:t xml:space="preserve">Amber under 95%; red under 85% for a critical milestone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Open snags</w:t>
            </w:r>
          </w:p>
        </w:tc>
        <w:tc>
          <w:tcPr>
            <w:tcMar>
              <w:top w:type="dxa" w:w="80"/>
              <w:left w:type="dxa" w:w="120"/>
              <w:bottom w:type="dxa" w:w="80"/>
              <w:right w:type="dxa" w:w="120"/>
            </w:tcMar>
            <w:vAlign w:val="center"/>
          </w:tcPr>
          <w:p>
            <w:pPr>
              <w:pStyle w:val="MdTableCell"/>
            </w:pPr>
            <w:r>
              <w:t xml:space="preserve">Open items by severity and days outstanding</w:t>
            </w:r>
          </w:p>
        </w:tc>
        <w:tc>
          <w:tcPr>
            <w:tcBorders>
              <w:right w:val="none"/>
            </w:tcBorders>
            <w:tcMar>
              <w:top w:type="dxa" w:w="80"/>
              <w:left w:type="dxa" w:w="120"/>
              <w:bottom w:type="dxa" w:w="80"/>
              <w:right w:type="dxa" w:w="120"/>
            </w:tcMar>
            <w:vAlign w:val="center"/>
          </w:tcPr>
          <w:p>
            <w:pPr>
              <w:pStyle w:val="MdTableCell"/>
            </w:pPr>
            <w:r>
              <w:t xml:space="preserve">Red for any life-safety, statutory or client-critical snag beyond due date</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Expiry exposure</w:t>
            </w:r>
          </w:p>
        </w:tc>
        <w:tc>
          <w:tcPr>
            <w:tcBorders>
              <w:bottom w:val="single" w:color="E1E4E8" w:sz="4"/>
            </w:tcBorders>
            <w:tcMar>
              <w:top w:type="dxa" w:w="80"/>
              <w:left w:type="dxa" w:w="120"/>
              <w:bottom w:type="dxa" w:w="80"/>
              <w:right w:type="dxa" w:w="120"/>
            </w:tcMar>
            <w:vAlign w:val="center"/>
          </w:tcPr>
          <w:p>
            <w:pPr>
              <w:pStyle w:val="MdTableCell"/>
            </w:pPr>
            <w:r>
              <w:t xml:space="preserve">Permits/certificates expiring before next planned activity or handover</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Red within 14 days; amber within 30 days</w:t>
            </w:r>
          </w:p>
        </w:tc>
      </w:tr>
    </w:tbl>
    <w:p>
      <w:pPr>
        <w:pStyle w:val="MdParagraph"/>
      </w:pPr>
      <w:r>
        <w:t xml:space="preserve">A useful management report should include a one-page </w:t>
      </w:r>
      <w:r>
        <w:rPr>
          <w:rStyle w:val="MdStrong"/>
          <w:b/>
          <w:bCs/>
        </w:rPr>
        <w:t xml:space="preserve">Decisions Needed This Week</w:t>
      </w:r>
      <w:r>
        <w:t xml:space="preserve"> table. It must state the blocker, controlling authority/client, owner, required decision, last safe decision date and programme consequence. This gives senior management a forward-looking view instead of a list of documents already late.</w:t>
      </w:r>
    </w:p>
    <w:p>
      <w:pPr>
        <w:pStyle w:val="MdSpace"/>
        <w:spacing w:before="0" w:after="60"/>
      </w:pPr>
    </w:p>
    <w:p>
      <w:pPr>
        <w:pStyle w:val="Heading2"/>
        <w:pStyle w:val="MdHeading2"/>
      </w:pPr>
      <w:r>
        <w:t xml:space="preserve">7. Client “what to expect” guidance for the page</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Client question</w:t>
            </w:r>
          </w:p>
        </w:tc>
        <w:tc>
          <w:tcPr>
            <w:tcBorders>
              <w:right w:val="none"/>
            </w:tcBorders>
            <w:tcMar>
              <w:top w:type="dxa" w:w="100"/>
              <w:left w:type="dxa" w:w="120"/>
              <w:bottom w:type="dxa" w:w="100"/>
              <w:right w:type="dxa" w:w="120"/>
            </w:tcMar>
            <w:vAlign w:val="center"/>
          </w:tcPr>
          <w:p>
            <w:pPr>
              <w:pStyle w:val="MdTableHeader"/>
            </w:pPr>
            <w:r>
              <w:t xml:space="preserve">Suggested plain-English answer to place on the page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Why are there different authorities?</w:t>
            </w:r>
          </w:p>
        </w:tc>
        <w:tc>
          <w:tcPr>
            <w:tcBorders>
              <w:right w:val="none"/>
            </w:tcBorders>
            <w:tcMar>
              <w:top w:type="dxa" w:w="80"/>
              <w:left w:type="dxa" w:w="120"/>
              <w:bottom w:type="dxa" w:w="80"/>
              <w:right w:type="dxa" w:w="120"/>
            </w:tcMar>
            <w:vAlign w:val="center"/>
          </w:tcPr>
          <w:p>
            <w:pPr>
              <w:pStyle w:val="MdTableCell"/>
            </w:pPr>
            <w:r>
              <w:t xml:space="preserve">“Authority requirements depend on the emirate, exact development and whether the site is mainland, free-zone or master-developer controlled. We confirm the jurisdiction before selecting the approval path.”</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What may delay Day One?</w:t>
            </w:r>
          </w:p>
        </w:tc>
        <w:tc>
          <w:tcPr>
            <w:tcBorders>
              <w:right w:val="none"/>
            </w:tcBorders>
            <w:tcMar>
              <w:top w:type="dxa" w:w="80"/>
              <w:left w:type="dxa" w:w="120"/>
              <w:bottom w:type="dxa" w:w="80"/>
              <w:right w:type="dxa" w:w="120"/>
            </w:tcMar>
            <w:vAlign w:val="center"/>
          </w:tcPr>
          <w:p>
            <w:pPr>
              <w:pStyle w:val="MdTableCell"/>
            </w:pPr>
            <w:r>
              <w:t xml:space="preserve">“Typical blockers are outstanding site possession/access, permit or NOC conditions, temporary utility readiness, incomplete emergency/welfare arrangements, incomplete RAMS, or missing competence/equipment evidence.”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What will you receive before work starts?</w:t>
            </w:r>
          </w:p>
        </w:tc>
        <w:tc>
          <w:tcPr>
            <w:tcBorders>
              <w:right w:val="none"/>
            </w:tcBorders>
            <w:tcMar>
              <w:top w:type="dxa" w:w="80"/>
              <w:left w:type="dxa" w:w="120"/>
              <w:bottom w:type="dxa" w:w="80"/>
              <w:right w:type="dxa" w:w="120"/>
            </w:tcMar>
            <w:vAlign w:val="center"/>
          </w:tcPr>
          <w:p>
            <w:pPr>
              <w:pStyle w:val="MdTableCell"/>
            </w:pPr>
            <w:r>
              <w:t xml:space="preserve">“A readiness summary showing the authority path, permits/NOCs, site layout, HSE/emergency arrangements, planned workforce and plant controls, known risks and unresolved items.”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What happens while the works progress?</w:t>
            </w:r>
          </w:p>
        </w:tc>
        <w:tc>
          <w:tcPr>
            <w:tcBorders>
              <w:right w:val="none"/>
            </w:tcBorders>
            <w:tcMar>
              <w:top w:type="dxa" w:w="80"/>
              <w:left w:type="dxa" w:w="120"/>
              <w:bottom w:type="dxa" w:w="80"/>
              <w:right w:type="dxa" w:w="120"/>
            </w:tcMar>
            <w:vAlign w:val="center"/>
          </w:tcPr>
          <w:p>
            <w:pPr>
              <w:pStyle w:val="MdTableCell"/>
            </w:pPr>
            <w:r>
              <w:t xml:space="preserve">“We keep approved documents, inspections, test records, permits, changes, photographs and corrective actions in a controlled record to support authority inspections and final handover.”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Why does closeout start early?</w:t>
            </w:r>
          </w:p>
        </w:tc>
        <w:tc>
          <w:tcPr>
            <w:tcBorders>
              <w:right w:val="none"/>
            </w:tcBorders>
            <w:tcMar>
              <w:top w:type="dxa" w:w="80"/>
              <w:left w:type="dxa" w:w="120"/>
              <w:bottom w:type="dxa" w:w="80"/>
              <w:right w:type="dxa" w:w="120"/>
            </w:tcMar>
            <w:vAlign w:val="center"/>
          </w:tcPr>
          <w:p>
            <w:pPr>
              <w:pStyle w:val="MdTableCell"/>
            </w:pPr>
            <w:r>
              <w:t xml:space="preserve">“Completion and handover require evidence built throughout the job—such as inspections, testing, as-builts, warranties, manuals, training and clearance records. Starting early reduces last-minute delay.”</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What will you receive at handover?</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“A defined acceptance pack: relevant authority/utility evidence, test and commissioning records, as-builts, O&amp;M manuals, warranties, training records, access/asset transfer details, snag status and residual-risk information.”</w:t>
            </w:r>
          </w:p>
        </w:tc>
      </w:tr>
    </w:tbl>
    <w:p>
      <w:pPr>
        <w:pStyle w:val="Heading2"/>
        <w:pStyle w:val="MdHeading2"/>
      </w:pPr>
      <w:r>
        <w:t xml:space="preserve">8. Content and UX changes to prioritise</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Priority</w:t>
            </w:r>
          </w:p>
        </w:tc>
        <w:tc>
          <w:tcPr>
            <w:tcMar>
              <w:top w:type="dxa" w:w="100"/>
              <w:left w:type="dxa" w:w="120"/>
              <w:bottom w:type="dxa" w:w="100"/>
              <w:right w:type="dxa" w:w="120"/>
            </w:tcMar>
            <w:vAlign w:val="center"/>
          </w:tcPr>
          <w:p>
            <w:pPr>
              <w:pStyle w:val="MdTableHeader"/>
            </w:pPr>
            <w:r>
              <w:t xml:space="preserve">Recommended enhancement</w:t>
            </w:r>
          </w:p>
        </w:tc>
        <w:tc>
          <w:tcPr>
            <w:tcBorders>
              <w:right w:val="none"/>
            </w:tcBorders>
            <w:tcMar>
              <w:top w:type="dxa" w:w="100"/>
              <w:left w:type="dxa" w:w="120"/>
              <w:bottom w:type="dxa" w:w="100"/>
              <w:right w:type="dxa" w:w="120"/>
            </w:tcMar>
            <w:vAlign w:val="center"/>
          </w:tcPr>
          <w:p>
            <w:pPr>
              <w:pStyle w:val="MdTableHeader"/>
            </w:pPr>
            <w:r>
              <w:t xml:space="preserve">Outcome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1</w:t>
            </w:r>
          </w:p>
        </w:tc>
        <w:tc>
          <w:tcPr>
            <w:tcMar>
              <w:top w:type="dxa" w:w="80"/>
              <w:left w:type="dxa" w:w="120"/>
              <w:bottom w:type="dxa" w:w="80"/>
              <w:right w:type="dxa" w:w="120"/>
            </w:tcMar>
            <w:vAlign w:val="center"/>
          </w:tcPr>
          <w:p>
            <w:pPr>
              <w:pStyle w:val="MdTableCell"/>
            </w:pPr>
            <w:r>
              <w:t xml:space="preserve">Add the Authority &amp; Jurisdiction Resolver before any checklist</w:t>
            </w:r>
          </w:p>
        </w:tc>
        <w:tc>
          <w:tcPr>
            <w:tcBorders>
              <w:right w:val="none"/>
            </w:tcBorders>
            <w:tcMar>
              <w:top w:type="dxa" w:w="80"/>
              <w:left w:type="dxa" w:w="120"/>
              <w:bottom w:type="dxa" w:w="80"/>
              <w:right w:type="dxa" w:w="120"/>
            </w:tcMar>
            <w:vAlign w:val="center"/>
          </w:tcPr>
          <w:p>
            <w:pPr>
              <w:pStyle w:val="MdTableCell"/>
            </w:pPr>
            <w:r>
              <w:t xml:space="preserve">Prevents the wrong permit path from being presented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2</w:t>
            </w:r>
          </w:p>
        </w:tc>
        <w:tc>
          <w:tcPr>
            <w:tcMar>
              <w:top w:type="dxa" w:w="80"/>
              <w:left w:type="dxa" w:w="120"/>
              <w:bottom w:type="dxa" w:w="80"/>
              <w:right w:type="dxa" w:w="120"/>
            </w:tcMar>
            <w:vAlign w:val="center"/>
          </w:tcPr>
          <w:p>
            <w:pPr>
              <w:pStyle w:val="MdTableCell"/>
            </w:pPr>
            <w:r>
              <w:t xml:space="preserve">Add a Mob/Demob lifecycle switch with four stages: Plan, Mobilise, Operate/Collect Evidence, Close/Handover</w:t>
            </w:r>
          </w:p>
        </w:tc>
        <w:tc>
          <w:tcPr>
            <w:tcBorders>
              <w:right w:val="none"/>
            </w:tcBorders>
            <w:tcMar>
              <w:top w:type="dxa" w:w="80"/>
              <w:left w:type="dxa" w:w="120"/>
              <w:bottom w:type="dxa" w:w="80"/>
              <w:right w:type="dxa" w:w="120"/>
            </w:tcMar>
            <w:vAlign w:val="center"/>
          </w:tcPr>
          <w:p>
            <w:pPr>
              <w:pStyle w:val="MdTableCell"/>
            </w:pPr>
            <w:r>
              <w:t xml:space="preserve">Makes the page useful until the final day of the site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3</w:t>
            </w:r>
          </w:p>
        </w:tc>
        <w:tc>
          <w:tcPr>
            <w:tcMar>
              <w:top w:type="dxa" w:w="80"/>
              <w:left w:type="dxa" w:w="120"/>
              <w:bottom w:type="dxa" w:w="80"/>
              <w:right w:type="dxa" w:w="120"/>
            </w:tcMar>
            <w:vAlign w:val="center"/>
          </w:tcPr>
          <w:p>
            <w:pPr>
              <w:pStyle w:val="MdTableCell"/>
            </w:pPr>
            <w:r>
              <w:t xml:space="preserve">Add check-off, remove-with-reason, evidence, owner, reference-number and expiry-date controls to every checklist row</w:t>
            </w:r>
          </w:p>
        </w:tc>
        <w:tc>
          <w:tcPr>
            <w:tcBorders>
              <w:right w:val="none"/>
            </w:tcBorders>
            <w:tcMar>
              <w:top w:type="dxa" w:w="80"/>
              <w:left w:type="dxa" w:w="120"/>
              <w:bottom w:type="dxa" w:w="80"/>
              <w:right w:type="dxa" w:w="120"/>
            </w:tcMar>
            <w:vAlign w:val="center"/>
          </w:tcPr>
          <w:p>
            <w:pPr>
              <w:pStyle w:val="MdTableCell"/>
            </w:pPr>
            <w:r>
              <w:t xml:space="preserve">Produces an auditable, project-specific register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4</w:t>
            </w:r>
          </w:p>
        </w:tc>
        <w:tc>
          <w:tcPr>
            <w:tcMar>
              <w:top w:type="dxa" w:w="80"/>
              <w:left w:type="dxa" w:w="120"/>
              <w:bottom w:type="dxa" w:w="80"/>
              <w:right w:type="dxa" w:w="120"/>
            </w:tcMar>
            <w:vAlign w:val="center"/>
          </w:tcPr>
          <w:p>
            <w:pPr>
              <w:pStyle w:val="MdTableCell"/>
            </w:pPr>
            <w:r>
              <w:t xml:space="preserve">Build separate </w:t>
            </w:r>
            <w:r>
              <w:rPr>
                <w:rStyle w:val="MdStrong"/>
                <w:b/>
                <w:bCs/>
              </w:rPr>
              <w:t xml:space="preserve">authority-ready</w:t>
            </w:r>
            <w:r>
              <w:t xml:space="preserve"> and </w:t>
            </w:r>
            <w:r>
              <w:rPr>
                <w:rStyle w:val="MdStrong"/>
                <w:b/>
                <w:bCs/>
              </w:rPr>
              <w:t xml:space="preserve">client-ready</w:t>
            </w:r>
            <w:r>
              <w:t xml:space="preserve"> completion dashboards</w:t>
            </w:r>
          </w:p>
        </w:tc>
        <w:tc>
          <w:tcPr>
            <w:tcBorders>
              <w:right w:val="none"/>
            </w:tcBorders>
            <w:tcMar>
              <w:top w:type="dxa" w:w="80"/>
              <w:left w:type="dxa" w:w="120"/>
              <w:bottom w:type="dxa" w:w="80"/>
              <w:right w:type="dxa" w:w="120"/>
            </w:tcMar>
            <w:vAlign w:val="center"/>
          </w:tcPr>
          <w:p>
            <w:pPr>
              <w:pStyle w:val="MdTableCell"/>
            </w:pPr>
            <w:r>
              <w:t xml:space="preserve">Avoids confusing physical completion with acceptance/readiness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5</w:t>
            </w:r>
          </w:p>
        </w:tc>
        <w:tc>
          <w:tcPr>
            <w:tcMar>
              <w:top w:type="dxa" w:w="80"/>
              <w:left w:type="dxa" w:w="120"/>
              <w:bottom w:type="dxa" w:w="80"/>
              <w:right w:type="dxa" w:w="120"/>
            </w:tcMar>
            <w:vAlign w:val="center"/>
          </w:tcPr>
          <w:p>
            <w:pPr>
              <w:pStyle w:val="MdTableCell"/>
            </w:pPr>
            <w:r>
              <w:t xml:space="preserve">Display published authority targets only where a source explicitly states one; otherwise use labelled planning allowances</w:t>
            </w:r>
          </w:p>
        </w:tc>
        <w:tc>
          <w:tcPr>
            <w:tcBorders>
              <w:right w:val="none"/>
            </w:tcBorders>
            <w:tcMar>
              <w:top w:type="dxa" w:w="80"/>
              <w:left w:type="dxa" w:w="120"/>
              <w:bottom w:type="dxa" w:w="80"/>
              <w:right w:type="dxa" w:w="120"/>
            </w:tcMar>
            <w:vAlign w:val="center"/>
          </w:tcPr>
          <w:p>
            <w:pPr>
              <w:pStyle w:val="MdTableCell"/>
            </w:pPr>
            <w:r>
              <w:t xml:space="preserve">Gives useful timing without presenting estimates as commitments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6</w:t>
            </w:r>
          </w:p>
        </w:tc>
        <w:tc>
          <w:tcPr>
            <w:tcMar>
              <w:top w:type="dxa" w:w="80"/>
              <w:left w:type="dxa" w:w="120"/>
              <w:bottom w:type="dxa" w:w="80"/>
              <w:right w:type="dxa" w:w="120"/>
            </w:tcMar>
            <w:vAlign w:val="center"/>
          </w:tcPr>
          <w:p>
            <w:pPr>
              <w:pStyle w:val="MdTableCell"/>
            </w:pPr>
            <w:r>
              <w:t xml:space="preserve">Add an “Expected by client” panel and weekly decision log</w:t>
            </w:r>
          </w:p>
        </w:tc>
        <w:tc>
          <w:tcPr>
            <w:tcBorders>
              <w:right w:val="none"/>
            </w:tcBorders>
            <w:tcMar>
              <w:top w:type="dxa" w:w="80"/>
              <w:left w:type="dxa" w:w="120"/>
              <w:bottom w:type="dxa" w:w="80"/>
              <w:right w:type="dxa" w:w="120"/>
            </w:tcMar>
            <w:vAlign w:val="center"/>
          </w:tcPr>
          <w:p>
            <w:pPr>
              <w:pStyle w:val="MdTableCell"/>
            </w:pPr>
            <w:r>
              <w:t xml:space="preserve">Improves transparency and client confidence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7</w:t>
            </w:r>
          </w:p>
        </w:tc>
        <w:tc>
          <w:tcPr>
            <w:tcMar>
              <w:top w:type="dxa" w:w="80"/>
              <w:left w:type="dxa" w:w="120"/>
              <w:bottom w:type="dxa" w:w="80"/>
              <w:right w:type="dxa" w:w="120"/>
            </w:tcMar>
            <w:vAlign w:val="center"/>
          </w:tcPr>
          <w:p>
            <w:pPr>
              <w:pStyle w:val="MdTableCell"/>
            </w:pPr>
            <w:r>
              <w:t xml:space="preserve">Add conditional micro-checklists for fire, utilities, road/right-of-way, temporary works, excavation, lifting, environmental impacts and fit-out</w:t>
            </w:r>
          </w:p>
        </w:tc>
        <w:tc>
          <w:tcPr>
            <w:tcBorders>
              <w:right w:val="none"/>
            </w:tcBorders>
            <w:tcMar>
              <w:top w:type="dxa" w:w="80"/>
              <w:left w:type="dxa" w:w="120"/>
              <w:bottom w:type="dxa" w:w="80"/>
              <w:right w:type="dxa" w:w="120"/>
            </w:tcMar>
            <w:vAlign w:val="center"/>
          </w:tcPr>
          <w:p>
            <w:pPr>
              <w:pStyle w:val="MdTableCell"/>
            </w:pPr>
            <w:r>
              <w:t xml:space="preserve">Lets users remove irrelevant content while retaining a defensible reason</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8</w:t>
            </w:r>
          </w:p>
        </w:tc>
        <w:tc>
          <w:tcPr>
            <w:tcBorders>
              <w:bottom w:val="single" w:color="E1E4E8" w:sz="4"/>
            </w:tcBorders>
            <w:tcMar>
              <w:top w:type="dxa" w:w="80"/>
              <w:left w:type="dxa" w:w="120"/>
              <w:bottom w:type="dxa" w:w="80"/>
              <w:right w:type="dxa" w:w="120"/>
            </w:tcMar>
            <w:vAlign w:val="center"/>
          </w:tcPr>
          <w:p>
            <w:pPr>
              <w:pStyle w:val="MdTableCell"/>
            </w:pPr>
            <w:r>
              <w:t xml:space="preserve">Add a closeout countdown beginning 12–16 weeks before target handover</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Protects the completion critical path</w:t>
            </w:r>
          </w:p>
        </w:tc>
      </w:tr>
    </w:tbl>
    <w:p>
      <w:pPr>
        <w:pStyle w:val="Heading2"/>
        <w:pStyle w:val="MdHeading2"/>
      </w:pPr>
      <w:r>
        <w:t xml:space="preserve">Implementation note</w:t>
      </w:r>
    </w:p>
    <w:p>
      <w:pPr>
        <w:pStyle w:val="MdParagraph"/>
      </w:pPr>
      <w:r>
        <w:t xml:space="preserve">The attached workbook translates the above structure into a usable project-control template. It contains a </w:t>
      </w:r>
      <w:r>
        <w:rPr>
          <w:rStyle w:val="MdStrong"/>
          <w:b/>
          <w:bCs/>
        </w:rPr>
        <w:t xml:space="preserve">Project Dashboard</w:t>
      </w:r>
      <w:r>
        <w:t xml:space="preserve"> for site-specific inputs, an </w:t>
      </w:r>
      <w:r>
        <w:rPr>
          <w:rStyle w:val="MdStrong"/>
          <w:b/>
          <w:bCs/>
        </w:rPr>
        <w:t xml:space="preserve">Authority Matrix</w:t>
      </w:r>
      <w:r>
        <w:t xml:space="preserve">, a </w:t>
      </w:r>
      <w:r>
        <w:rPr>
          <w:rStyle w:val="MdStrong"/>
          <w:b/>
          <w:bCs/>
        </w:rPr>
        <w:t xml:space="preserve">Mobilisation Checklist</w:t>
      </w:r>
      <w:r>
        <w:t xml:space="preserve">, a </w:t>
      </w:r>
      <w:r>
        <w:rPr>
          <w:rStyle w:val="MdStrong"/>
          <w:b/>
          <w:bCs/>
        </w:rPr>
        <w:t xml:space="preserve">Demobilisation &amp; Handover Checklist</w:t>
      </w:r>
      <w:r>
        <w:t xml:space="preserve">, and a </w:t>
      </w:r>
      <w:r>
        <w:rPr>
          <w:rStyle w:val="MdStrong"/>
          <w:b/>
          <w:bCs/>
        </w:rPr>
        <w:t xml:space="preserve">Management View</w:t>
      </w:r>
      <w:r>
        <w:t xml:space="preserve">. It is intentionally structured so project details can be entered once and reused when reports or checklist extracts are prepared.</w:t>
      </w:r>
    </w:p>
    <w:p>
      <w:pPr>
        <w:pStyle w:val="MdSpace"/>
        <w:spacing w:before="0" w:after="60"/>
      </w:pPr>
    </w:p>
    <w:p>
      <w:pPr>
        <w:pStyle w:val="Heading2"/>
        <w:pStyle w:val="MdHeading2"/>
      </w:pPr>
      <w:r>
        <w:t xml:space="preserve">References</w:t>
      </w:r>
    </w:p>
    <w:p>
      <w:pPr>
        <w:pStyle w:val="MdHr"/>
        <w:pBdr>
          <w:bottom w:val="single" w:color="auto" w:sz="6" w:space="1"/>
        </w:pBdr>
      </w:pPr>
    </w:p>
    <w:p>
      <w:pPr>
        <w:pStyle w:val="MdSpace"/>
        <w:spacing w:before="0" w:after="60"/>
      </w:pPr>
    </w:p>
    <w:p>
      <w:pPr>
        <w:pStyle w:val="MdParagraph"/>
      </w:pPr>
      <w:r>
        <w:rPr>
          <w:rStyle w:val="MdStrong"/>
          <w:b/>
          <w:bCs/>
        </w:rPr>
        <w:t xml:space="preserve">Source-verification note:</w:t>
      </w:r>
      <w:r>
        <w:t xml:space="preserve"> The named authority references and any published service targets in this report were checked against the linked official pages. Where no public authority service target was confirmed, the report deliberately provides a </w:t>
      </w:r>
      <w:r>
        <w:rPr>
          <w:rStyle w:val="MdStrong"/>
          <w:b/>
          <w:bCs/>
        </w:rPr>
        <w:t xml:space="preserve">planning window only</w:t>
      </w:r>
      <w:r>
        <w:t xml:space="preserve">, not an official turnaround commitment. The live Site Mobilization page itself remains sign-in protected in the current session, so its exact visible fields and copy have not yet been audited.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lvl w:ilvl="1" w15:tentative="1">
      <w:start w:val="1"/>
      <w:numFmt w:val="decimal"/>
      <w:lvlText w:val="%1.%2"/>
      <w:lvlJc w:val="left"/>
      <w:pPr>
        <w:ind w:left="1440" w:hanging="360"/>
      </w:pPr>
    </w:lvl>
    <w:lvl w:ilvl="2" w15:tentative="1">
      <w:start w:val="1"/>
      <w:numFmt w:val="decimal"/>
      <w:lvlText w:val="%1.%2.%3"/>
      <w:lvlJc w:val="left"/>
      <w:pPr>
        <w:ind w:left="2160" w:hanging="360"/>
      </w:pPr>
    </w:lvl>
    <w:lvl w:ilvl="3" w15:tentative="1">
      <w:start w:val="1"/>
      <w:numFmt w:val="decimal"/>
      <w:lvlText w:val="%4)"/>
      <w:lvlJc w:val="left"/>
      <w:pPr>
        <w:ind w:left="2880" w:hanging="360"/>
      </w:pPr>
    </w:lvl>
    <w:lvl w:ilvl="4" w15:tentative="1">
      <w:start w:val="1"/>
      <w:numFmt w:val="decimal"/>
      <w:lvlText w:val="%5)"/>
      <w:lvlJc w:val="left"/>
      <w:pPr>
        <w:ind w:left="3600" w:hanging="360"/>
      </w:pPr>
    </w:lvl>
    <w:lvl w:ilvl="5" w15:tentative="1">
      <w:start w:val="1"/>
      <w:numFmt w:val="decimal"/>
      <w:lvlText w:val="%6)"/>
      <w:lvlJc w:val="left"/>
      <w:pPr>
        <w:ind w:left="4320" w:hanging="360"/>
      </w:pPr>
    </w:lvl>
    <w:lvl w:ilvl="6" w15:tentative="1">
      <w:start w:val="1"/>
      <w:numFmt w:val="decimal"/>
      <w:lvlText w:val="%7)"/>
      <w:lvlJc w:val="left"/>
      <w:pPr>
        <w:ind w:left="5040" w:hanging="360"/>
      </w:pPr>
    </w:lvl>
    <w:lvl w:ilvl="7" w15:tentative="1">
      <w:start w:val="1"/>
      <w:numFmt w:val="decimal"/>
      <w:lvlText w:val="%8)"/>
      <w:lvlJc w:val="left"/>
      <w:pPr>
        <w:ind w:left="5760" w:hanging="360"/>
      </w:pPr>
    </w:lvl>
    <w:lvl w:ilvl="8" w15:tentative="1">
      <w:start w:val="1"/>
      <w:numFmt w:val="decimal"/>
      <w:lvlText w:val="%9)"/>
      <w:lvlJc w:val="left"/>
      <w:pPr>
        <w:ind w:left="6480" w:hanging="360"/>
      </w:pPr>
    </w:lvl>
  </w:abstractNum>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rPr>
    </w:rPrDefault>
    <w:pPrDefault>
      <w:pPr>
        <w:spacing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color="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MdSpace">
    <w:name w:val="MdSpace"/>
    <w:basedOn w:val="Normal"/>
    <w:next w:val="Normal"/>
    <w:qFormat/>
    <w:pPr>
      <w:spacing w:before="0" w:after="0"/>
    </w:pPr>
    <w:rPr>
      <w:sz w:val="12"/>
      <w:szCs w:val="12"/>
    </w:rPr>
  </w:style>
  <w:style w:type="paragraph" w:styleId="MdCode">
    <w:name w:val="MdCode"/>
    <w:basedOn w:val="Normal"/>
    <w:next w:val="Normal"/>
    <w:qFormat/>
    <w:pPr>
      <w:pBdr>
        <w:top w:val="single" w:color="A5A5A5" w:sz="1" w:space="8"/>
        <w:bottom w:val="single" w:color="A5A5A5" w:sz="1" w:space="8"/>
        <w:left w:val="single" w:color="A5A5A5" w:sz="1" w:space="8"/>
        <w:right w:val="single" w:color="A5A5A5" w:sz="1" w:space="8"/>
      </w:pBdr>
      <w:spacing w:before="200" w:after="200"/>
    </w:pPr>
    <w:rPr>
      <w:rFonts w:ascii="Courier New" w:cs="Courier New" w:eastAsia="Courier New" w:hAnsi="Courier New"/>
      <w:color w:val="70AD47"/>
      <w:sz w:val="22"/>
      <w:szCs w:val="22"/>
    </w:rPr>
  </w:style>
  <w:style w:type="paragraph" w:styleId="MdHr">
    <w:name w:val="MdHr"/>
    <w:basedOn w:val="Normal"/>
    <w:next w:val="Normal"/>
    <w:qFormat/>
    <w:pPr>
      <w:pBdr>
        <w:bottom w:val="single" w:color="A5A5A5" w:sz="1" w:space="1"/>
      </w:pBdr>
      <w:spacing w:before="240" w:after="240"/>
    </w:pPr>
  </w:style>
  <w:style w:type="paragraph" w:styleId="MdBlockquote">
    <w:name w:val="MdBlockquote"/>
    <w:basedOn w:val="Normal"/>
    <w:next w:val="Normal"/>
    <w:qFormat/>
    <w:pPr>
      <w:pBdr>
        <w:left w:val="single" w:color="A5A5A5" w:sz="20" w:space="12"/>
      </w:pBdr>
      <w:spacing w:before="200" w:after="200"/>
      <w:ind w:left="360"/>
    </w:pPr>
    <w:rPr>
      <w:i/>
      <w:iCs/>
      <w:color w:val="666666"/>
    </w:rPr>
  </w:style>
  <w:style w:type="paragraph" w:styleId="MdHtml">
    <w:name w:val="MdHtml"/>
    <w:basedOn w:val="Normal"/>
    <w:next w:val="Normal"/>
    <w:qFormat/>
    <w:rPr>
      <w:rFonts w:ascii="Courier New" w:cs="Courier New" w:eastAsia="Courier New" w:hAnsi="Courier New"/>
      <w:color w:val="ED7D31"/>
    </w:rPr>
  </w:style>
  <w:style w:type="paragraph" w:styleId="MdDef">
    <w:name w:val="MdDef"/>
    <w:basedOn w:val="Normal"/>
    <w:next w:val="Normal"/>
    <w:qFormat/>
    <w:pPr>
      <w:ind w:left="720" w:hanging="360"/>
    </w:pPr>
  </w:style>
  <w:style w:type="paragraph" w:styleId="MdParagraph">
    <w:name w:val="MdParagraph"/>
    <w:basedOn w:val="Normal"/>
    <w:next w:val="Normal"/>
    <w:qFormat/>
    <w:pPr>
      <w:spacing w:before="120" w:after="120"/>
    </w:pPr>
  </w:style>
  <w:style w:type="paragraph" w:styleId="MdText">
    <w:name w:val="MdText"/>
    <w:basedOn w:val="Normal"/>
    <w:next w:val="Normal"/>
    <w:qFormat/>
  </w:style>
  <w:style w:type="paragraph" w:styleId="MdFootnote">
    <w:name w:val="MdFootnote"/>
    <w:basedOn w:val="Normal"/>
    <w:next w:val="Normal"/>
    <w:qFormat/>
    <w:rPr>
      <w:vertAlign w:val="superscript"/>
    </w:rPr>
  </w:style>
  <w:style w:type="paragraph" w:styleId="MdListItem">
    <w:name w:val="MdListItem"/>
    <w:basedOn w:val="Normal"/>
    <w:next w:val="Normal"/>
    <w:qFormat/>
    <w:pPr>
      <w:spacing w:before="60" w:after="60"/>
      <w:ind w:left="720" w:hanging="360"/>
    </w:pPr>
  </w:style>
  <w:style w:type="paragraph" w:styleId="MdTable">
    <w:name w:val="MdTable"/>
    <w:basedOn w:val="Normal"/>
    <w:next w:val="Normal"/>
    <w:qFormat/>
    <w:pPr>
      <w:spacing w:before="60" w:after="60"/>
    </w:pPr>
  </w:style>
  <w:style w:type="paragraph" w:styleId="MdTableHeader">
    <w:name w:val="MdTableHeader"/>
    <w:basedOn w:val="Normal"/>
    <w:next w:val="Normal"/>
    <w:qFormat/>
    <w:pPr>
      <w:spacing w:before="60" w:after="60"/>
    </w:pPr>
    <w:rPr>
      <w:b/>
      <w:bCs/>
      <w:sz w:val="22"/>
      <w:szCs w:val="22"/>
    </w:rPr>
  </w:style>
  <w:style w:type="paragraph" w:styleId="MdTableCell">
    <w:name w:val="MdTableCell"/>
    <w:basedOn w:val="Normal"/>
    <w:next w:val="Normal"/>
    <w:qFormat/>
    <w:pPr>
      <w:spacing w:before="40" w:after="40"/>
    </w:pPr>
    <w:rPr>
      <w:sz w:val="20"/>
      <w:szCs w:val="20"/>
    </w:rPr>
  </w:style>
  <w:style w:type="paragraph" w:styleId="MdHeading1">
    <w:name w:val="MdHeading1"/>
    <w:basedOn w:val="Normal"/>
    <w:next w:val="Normal"/>
    <w:qFormat/>
    <w:pPr>
      <w:keepNext/>
      <w:spacing w:before="480" w:after="240"/>
      <w:outlineLvl w:val="0"/>
    </w:pPr>
    <w:rPr>
      <w:b/>
      <w:bCs/>
      <w:sz w:val="36"/>
      <w:szCs w:val="36"/>
    </w:rPr>
  </w:style>
  <w:style w:type="paragraph" w:styleId="MdHeading2">
    <w:name w:val="MdHeading2"/>
    <w:basedOn w:val="Normal"/>
    <w:next w:val="Normal"/>
    <w:qFormat/>
    <w:pPr>
      <w:keepNext/>
      <w:spacing w:before="400" w:after="200"/>
      <w:outlineLvl w:val="1"/>
    </w:pPr>
    <w:rPr>
      <w:b/>
      <w:bCs/>
      <w:sz w:val="32"/>
      <w:szCs w:val="32"/>
    </w:rPr>
  </w:style>
  <w:style w:type="paragraph" w:styleId="MdHeading3">
    <w:name w:val="MdHeading3"/>
    <w:basedOn w:val="Normal"/>
    <w:next w:val="Normal"/>
    <w:qFormat/>
    <w:pPr>
      <w:keepNext/>
      <w:spacing w:before="320" w:after="160"/>
      <w:outlineLvl w:val="2"/>
    </w:pPr>
    <w:rPr>
      <w:b/>
      <w:bCs/>
      <w:sz w:val="28"/>
      <w:szCs w:val="28"/>
    </w:rPr>
  </w:style>
  <w:style w:type="paragraph" w:styleId="MdHeading4">
    <w:name w:val="MdHeading4"/>
    <w:basedOn w:val="Normal"/>
    <w:next w:val="Normal"/>
    <w:qFormat/>
    <w:pPr>
      <w:keepNext/>
      <w:spacing w:before="280" w:after="140"/>
      <w:outlineLvl w:val="3"/>
    </w:pPr>
    <w:rPr>
      <w:b/>
      <w:bCs/>
      <w:sz w:val="26"/>
      <w:szCs w:val="26"/>
    </w:rPr>
  </w:style>
  <w:style w:type="paragraph" w:styleId="MdHeading5">
    <w:name w:val="MdHeading5"/>
    <w:basedOn w:val="Normal"/>
    <w:next w:val="Normal"/>
    <w:qFormat/>
    <w:pPr>
      <w:keepNext/>
      <w:spacing w:before="240" w:after="120"/>
      <w:outlineLvl w:val="4"/>
    </w:pPr>
    <w:rPr>
      <w:b/>
      <w:bCs/>
      <w:i/>
      <w:iCs/>
      <w:sz w:val="24"/>
      <w:szCs w:val="24"/>
    </w:rPr>
  </w:style>
  <w:style w:type="paragraph" w:styleId="MdHeading6">
    <w:name w:val="MdHeading6"/>
    <w:basedOn w:val="Normal"/>
    <w:next w:val="Normal"/>
    <w:qFormat/>
    <w:pPr>
      <w:keepNext/>
      <w:spacing w:before="240" w:after="120"/>
      <w:outlineLvl w:val="5"/>
    </w:pPr>
    <w:rPr>
      <w:b w:val="false"/>
      <w:bCs w:val="false"/>
      <w:i/>
      <w:iCs/>
      <w:sz w:val="24"/>
      <w:szCs w:val="24"/>
    </w:rPr>
  </w:style>
  <w:style w:type="character" w:styleId="MdTag">
    <w:name w:val="MdTag"/>
    <w:basedOn w:val="Normal"/>
    <w:next w:val="Normal"/>
    <w:uiPriority w:val="99"/>
    <w:unhideWhenUsed/>
    <w:qFormat/>
    <w:rPr>
      <w:rFonts w:ascii="Courier New" w:cs="Courier New" w:eastAsia="Courier New" w:hAnsi="Courier New"/>
      <w:color w:val="ED7D31"/>
    </w:rPr>
  </w:style>
  <w:style w:type="character" w:styleId="MdLink">
    <w:name w:val="MdLink"/>
    <w:basedOn w:val="Normal"/>
    <w:next w:val="Normal"/>
    <w:uiPriority w:val="99"/>
    <w:unhideWhenUsed/>
    <w:qFormat/>
    <w:rPr>
      <w:color w:val="0563C1"/>
      <w:u w:val="single"/>
    </w:rPr>
  </w:style>
  <w:style w:type="character" w:styleId="MdStrong">
    <w:name w:val="MdStrong"/>
    <w:basedOn w:val="Normal"/>
    <w:next w:val="Normal"/>
    <w:uiPriority w:val="99"/>
    <w:unhideWhenUsed/>
    <w:qFormat/>
    <w:rPr>
      <w:b/>
      <w:bCs/>
    </w:rPr>
  </w:style>
  <w:style w:type="character" w:styleId="MdEm">
    <w:name w:val="MdEm"/>
    <w:basedOn w:val="Normal"/>
    <w:next w:val="Normal"/>
    <w:uiPriority w:val="99"/>
    <w:unhideWhenUsed/>
    <w:qFormat/>
    <w:rPr>
      <w:i/>
      <w:iCs/>
    </w:rPr>
  </w:style>
  <w:style w:type="character" w:styleId="MdCodespan">
    <w:name w:val="MdCodespan"/>
    <w:basedOn w:val="Normal"/>
    <w:next w:val="Normal"/>
    <w:uiPriority w:val="99"/>
    <w:unhideWhenUsed/>
    <w:qFormat/>
    <w:rPr>
      <w:rFonts w:ascii="Courier New" w:cs="Courier New" w:eastAsia="Courier New" w:hAnsi="Courier New"/>
      <w:color w:val="70AD47"/>
    </w:rPr>
  </w:style>
  <w:style w:type="character" w:styleId="MdDel">
    <w:name w:val="MdDel"/>
    <w:basedOn w:val="Normal"/>
    <w:next w:val="Normal"/>
    <w:uiPriority w:val="99"/>
    <w:unhideWhenUsed/>
    <w:qFormat/>
    <w:rPr>
      <w:strike/>
    </w:rPr>
  </w:style>
  <w:style w:type="character" w:styleId="MdBr">
    <w:name w:val="MdBr"/>
    <w:basedOn w:val="Normal"/>
    <w:next w:val="Normal"/>
    <w:uiPriority w:val="99"/>
    <w:unhideWhenUsed/>
    <w:qFormat/>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syk2ilcziwamoi3dipfmt" Type="http://schemas.openxmlformats.org/officeDocument/2006/relationships/hyperlink" Target="https://u.ae/en/information-and-services/business/obtaining-certificates-and-licences/obtaining-certificates-and-permits" TargetMode="External"/><Relationship Id="rIdembkeenaqkygk-hpwyius" Type="http://schemas.openxmlformats.org/officeDocument/2006/relationships/hyperlink" Target="https://www.ajman.ae/en/servicecatalog/services/3395" TargetMode="External"/><Relationship Id="rIdflg28x_ak8iksww43rcq-" Type="http://schemas.openxmlformats.org/officeDocument/2006/relationships/hyperlink" Target="https://sanad.mun.rak.ae/docs/en/services-card-english-temp-21" TargetMode="External"/><Relationship Id="rIdzrgn_33lo3u6u_1t1x5yt" Type="http://schemas.openxmlformats.org/officeDocument/2006/relationships/hyperlink" Target="https://u.ae/en/information-and-services/business/obtaining-certificates-and-licences/obtaining-certificates-and-permits" TargetMode="External"/><Relationship Id="rIduqtfpxu1quzj3odlwddup" Type="http://schemas.openxmlformats.org/officeDocument/2006/relationships/hyperlink" Target="https://dda.gov.ae/en/planning-development/construction/permits-nocs/mobilization-permit" TargetMode="External"/><Relationship Id="rIdbn_uxs55ko2iopowslfcz" Type="http://schemas.openxmlformats.org/officeDocument/2006/relationships/hyperlink" Target="https://www.tamm.abudhabi/en/life-events/business/housing-construction/deeds-contracts-certificates/RequesttoOpenaCompletionCertificateFile" TargetMode="External"/><Relationship Id="rIdkf2s-mbpgkv4w8g1s0avh" Type="http://schemas.openxmlformats.org/officeDocument/2006/relationships/hyperlink" Target="https://u.ae/en/information-and-services/business/obtaining-certificates-and-licences/obtaining-certificates-and-permits" TargetMode="External"/><Relationship Id="rIdal3amik8lwvkebify_wy6" Type="http://schemas.openxmlformats.org/officeDocument/2006/relationships/hyperlink" Target="https://www.ajman.ae/en/servicecatalog/services/3278" TargetMode="External"/><Relationship Id="rIdcsdf-xioxt_wvza7bcpwq" Type="http://schemas.openxmlformats.org/officeDocument/2006/relationships/hyperlink" Target="https://sanad.mun.rak.ae/docs/en/services-card-english-temp-21" TargetMode="External"/><Relationship Id="rId83dsjqdhu7rkobppzhz8s" Type="http://schemas.openxmlformats.org/officeDocument/2006/relationships/hyperlink" Target="https://u.ae/en/information-and-services/business/obtaining-certificates-and-licences/obtaining-certificates-and-permits" TargetMode="External"/><Relationship Id="rId1b5zyyl_9czmbz_3aplbn" Type="http://schemas.openxmlformats.org/officeDocument/2006/relationships/hyperlink" Target="https://uaqftz.gov.ae/" TargetMode="External"/><Relationship Id="rIdau1vpdidiseldxqlorajb" Type="http://schemas.openxmlformats.org/officeDocument/2006/relationships/hyperlink" Target="https://u.ae/en/information-and-services/business/obtaining-certificates-and-licences/obtaining-certificates-and-permits" TargetMode="External"/><Relationship Id="rId8oumyi5-4nu1mjqaolfgd" Type="http://schemas.openxmlformats.org/officeDocument/2006/relationships/hyperlink" Target="https://dda.gov.ae/en/planning-development/construction/permits-nocs/mobilization-permit" TargetMode="External"/><Relationship Id="rIdzsht6u8w_-3a4xpbh8c6r" Type="http://schemas.openxmlformats.org/officeDocument/2006/relationships/hyperlink" Target="https://www.ajman.ae/en/servicecatalog/services/3278" TargetMode="External"/><Relationship Id="rId90kwwaxb-v04kvbksxsd4" Type="http://schemas.openxmlformats.org/officeDocument/2006/relationships/hyperlink" Target="https://www.ajman.ae/en/servicecatalog/services/3343" TargetMode="External"/><Relationship Id="rIdqtk6il8ykzbwyktyvpnpc" Type="http://schemas.openxmlformats.org/officeDocument/2006/relationships/hyperlink" Target="https://www.ajman.ae/en/servicecatalog/services/3395" TargetMode="External"/><Relationship Id="rIdwnz7hopqrexhwujaxyg1n" Type="http://schemas.openxmlformats.org/officeDocument/2006/relationships/hyperlink" Target="https://sanad.mun.rak.ae/docs/en/services-card-english-temp-21" TargetMode="External"/><Relationship Id="rIdnpd45lpgictl3rfhq7mvv" Type="http://schemas.openxmlformats.org/officeDocument/2006/relationships/hyperlink" Target="https://dda.gov.ae/en/planning-development/construction/permits-nocs/mobilization-permit" TargetMode="External"/><Relationship Id="rIdao9uj5f0cyp_zzgdzzqvh" Type="http://schemas.openxmlformats.org/officeDocument/2006/relationships/hyperlink" Target="https://sanad.mun.rak.ae/docs/en/services-card-english-temp-21" TargetMode="External"/><Relationship Id="rId25"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Un-named</cp:lastModifiedBy>
  <cp:revision>1</cp:revision>
  <dcterms:created xsi:type="dcterms:W3CDTF">2026-08-09T05:51:39.464Z</dcterms:created>
  <dcterms:modified xsi:type="dcterms:W3CDTF">2026-08-09T05:51:39.464Z</dcterms:modified>
</cp:coreProperties>
</file>

<file path=docProps/custom.xml><?xml version="1.0" encoding="utf-8"?>
<Properties xmlns="http://schemas.openxmlformats.org/officeDocument/2006/custom-properties" xmlns:vt="http://schemas.openxmlformats.org/officeDocument/2006/docPropsVTypes"/>
</file>