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d0bd955a12a3265321fc6ff909262ad9da12cf"/>
    <w:p>
      <w:pPr>
        <w:pStyle w:val="Heading1"/>
      </w:pPr>
      <w:r>
        <w:t xml:space="preserve">SIMOPS Incident Reporting and Crane–Formwork Exclusion-Zone Audit Protocol</w:t>
      </w:r>
    </w:p>
    <w:p>
      <w:pPr>
        <w:pStyle w:val="BlockText"/>
      </w:pPr>
      <w:r>
        <w:rPr>
          <w:b/>
          <w:bCs/>
        </w:rPr>
        <w:t xml:space="preserve">Legal / compliance note:</w:t>
      </w:r>
      <w:r>
        <w:t xml:space="preserve"> </w:t>
      </w:r>
      <w:r>
        <w:t xml:space="preserve">This is a working compliance analysis, not formal legal advice. The project’s permit conditions, development-zone rules, SRA instructions, client requirements and emergency-services directions may impose shorter or additional reporting duties. Confirm the live routing and contacts before relying on this procedure.</w:t>
      </w:r>
    </w:p>
    <w:bookmarkStart w:id="9" w:name="scope-and-trigger"/>
    <w:p>
      <w:pPr>
        <w:pStyle w:val="Heading2"/>
      </w:pPr>
      <w:r>
        <w:t xml:space="preserve">1. Scope and trigger</w:t>
      </w:r>
    </w:p>
    <w:p>
      <w:pPr>
        <w:pStyle w:val="FirstParagraph"/>
      </w:pPr>
      <w:r>
        <w:t xml:space="preserve">This protocol applies to a</w:t>
      </w:r>
      <w:r>
        <w:t xml:space="preserve"> </w:t>
      </w:r>
      <w:r>
        <w:rPr>
          <w:b/>
          <w:bCs/>
        </w:rPr>
        <w:t xml:space="preserve">major SIMOPS-related lost-time injury (LTI), serious injury, fatality, serious dangerous occurrence, or any partial/full excavation, shoring, formwork or structural collapse</w:t>
      </w:r>
      <w:r>
        <w:t xml:space="preserve"> </w:t>
      </w:r>
      <w:r>
        <w:t xml:space="preserve">occurring during or adjacent to crane lifting, structural concreting, temporary-works changes, dewatering or internal basement construction.</w:t>
      </w:r>
    </w:p>
    <w:p>
      <w:pPr>
        <w:pStyle w:val="BodyText"/>
      </w:pPr>
      <w:r>
        <w:t xml:space="preserve">The project must treat an excavation/shoring collapse as a potential</w:t>
      </w:r>
      <w:r>
        <w:t xml:space="preserve"> </w:t>
      </w:r>
      <w:r>
        <w:rPr>
          <w:b/>
          <w:bCs/>
        </w:rPr>
        <w:t xml:space="preserve">serious dangerous occurrence</w:t>
      </w:r>
      <w:r>
        <w:t xml:space="preserve"> </w:t>
      </w:r>
      <w:r>
        <w:t xml:space="preserve">even where there is no immediate injury. Where an LTI results from a major lifting or collapse event, the Principal Contractor must not wait for a final medical classification before activating the serious-incident notification route. Preserve life, call emergency services, isolate the workface and notify the required authority contacts on the conservative timetable below.</w:t>
      </w:r>
    </w:p>
    <w:bookmarkEnd w:id="9"/>
    <w:bookmarkStart w:id="18" w:name="X0619dfa0ac21a15d0d7a8516b1e18c1228198bf"/>
    <w:p>
      <w:pPr>
        <w:pStyle w:val="Heading2"/>
      </w:pPr>
      <w:r>
        <w:t xml:space="preserve">2. Statutory and regulatory notification matrix</w:t>
      </w:r>
    </w:p>
    <w:tbl>
      <w:tblPr>
        <w:tblStyle w:val="Table"/>
        <w:tblW w:type="pct" w:w="5000"/>
        <w:tblLayout w:type="fixed"/>
        <w:tblLook w:firstRow="1" w:lastRow="0" w:firstColumn="0" w:lastColumn="0" w:noHBand="0" w:noVBand="0" w:val="0020"/>
      </w:tblPr>
      <w:tblGrid>
        <w:gridCol w:w="1485"/>
        <w:gridCol w:w="1485"/>
        <w:gridCol w:w="1980"/>
        <w:gridCol w:w="1485"/>
        <w:gridCol w:w="1485"/>
      </w:tblGrid>
      <w:tr>
        <w:trPr>
          <w:tblHeader w:val="on"/>
        </w:trPr>
        <w:tc>
          <w:tcPr/>
          <w:p>
            <w:pPr>
              <w:pStyle w:val="Compact"/>
            </w:pPr>
            <w:r>
              <w:t xml:space="preserve">Jurisdiction / recipient</w:t>
            </w:r>
          </w:p>
        </w:tc>
        <w:tc>
          <w:tcPr/>
          <w:p>
            <w:pPr>
              <w:pStyle w:val="Compact"/>
            </w:pPr>
            <w:r>
              <w:t xml:space="preserve">Trigger</w:t>
            </w:r>
          </w:p>
        </w:tc>
        <w:tc>
          <w:tcPr/>
          <w:p>
            <w:pPr>
              <w:pStyle w:val="Compact"/>
              <w:jc w:val="right"/>
            </w:pPr>
            <w:r>
              <w:t xml:space="preserve">Verified timing</w:t>
            </w:r>
          </w:p>
        </w:tc>
        <w:tc>
          <w:tcPr/>
          <w:p>
            <w:pPr>
              <w:pStyle w:val="Compact"/>
            </w:pPr>
            <w:r>
              <w:t xml:space="preserve">Required action and evidence</w:t>
            </w:r>
          </w:p>
        </w:tc>
        <w:tc>
          <w:tcPr/>
          <w:p>
            <w:pPr>
              <w:pStyle w:val="Compact"/>
            </w:pPr>
            <w:r>
              <w:t xml:space="preserve">Compliance interpretation</w:t>
            </w:r>
          </w:p>
        </w:tc>
      </w:tr>
      <w:tr>
        <w:tc>
          <w:tcPr/>
          <w:p>
            <w:pPr>
              <w:pStyle w:val="Compact"/>
            </w:pPr>
            <w:r>
              <w:rPr>
                <w:b/>
                <w:bCs/>
              </w:rPr>
              <w:t xml:space="preserve">Emergency services / Police</w:t>
            </w:r>
          </w:p>
        </w:tc>
        <w:tc>
          <w:tcPr/>
          <w:p>
            <w:pPr>
              <w:pStyle w:val="Compact"/>
            </w:pPr>
            <w:r>
              <w:t xml:space="preserve">Serious injury, fatality, collapse, rescue requirement, major structural danger, fire or other emergency</w:t>
            </w:r>
          </w:p>
        </w:tc>
        <w:tc>
          <w:tcPr/>
          <w:p>
            <w:pPr>
              <w:pStyle w:val="Compact"/>
              <w:jc w:val="right"/>
            </w:pPr>
            <w:r>
              <w:rPr>
                <w:b/>
                <w:bCs/>
              </w:rPr>
              <w:t xml:space="preserve">Immediately</w:t>
            </w:r>
          </w:p>
        </w:tc>
        <w:tc>
          <w:tcPr/>
          <w:p>
            <w:pPr>
              <w:pStyle w:val="Compact"/>
            </w:pPr>
            <w:r>
              <w:t xml:space="preserve">Call emergency services; secure access; preserve scene once life safety is protected. Record call time, caller, location, grid/level and incident reference.</w:t>
            </w:r>
          </w:p>
        </w:tc>
        <w:tc>
          <w:tcPr/>
          <w:p>
            <w:pPr>
              <w:pStyle w:val="Compact"/>
            </w:pPr>
            <w:r>
              <w:t xml:space="preserve">The federal OSH decision requires employers to report accidents immediately to MOHRE and the appropriate authorities. Dubai’s official construction-safety manual also directs Police notification at</w:t>
            </w:r>
            <w:r>
              <w:t xml:space="preserve"> </w:t>
            </w:r>
            <w:r>
              <w:rPr>
                <w:b/>
                <w:bCs/>
              </w:rPr>
              <w:t xml:space="preserve">999</w:t>
            </w:r>
            <w:r>
              <w:t xml:space="preserve"> </w:t>
            </w:r>
            <w:r>
              <w:t xml:space="preserve">for serious accidents and LTIs requiring transfer to hospital.</w:t>
            </w:r>
            <w:r>
              <w:t xml:space="preserve"> </w:t>
            </w:r>
            <w:hyperlink r:id="rId10">
              <w:r>
                <w:rPr>
                  <w:rStyle w:val="Hyperlink"/>
                </w:rPr>
                <w:t xml:space="preserve">1</w:t>
              </w:r>
            </w:hyperlink>
            <w:r>
              <w:t xml:space="preserve"> </w:t>
            </w:r>
            <w:hyperlink r:id="rId11">
              <w:r>
                <w:rPr>
                  <w:rStyle w:val="Hyperlink"/>
                </w:rPr>
                <w:t xml:space="preserve">2</w:t>
              </w:r>
            </w:hyperlink>
          </w:p>
        </w:tc>
      </w:tr>
      <w:tr>
        <w:tc>
          <w:tcPr/>
          <w:p>
            <w:pPr>
              <w:pStyle w:val="Compact"/>
            </w:pPr>
            <w:r>
              <w:rPr>
                <w:b/>
                <w:bCs/>
              </w:rPr>
              <w:t xml:space="preserve">MOHRE / federal work-injury route</w:t>
            </w:r>
          </w:p>
        </w:tc>
        <w:tc>
          <w:tcPr/>
          <w:p>
            <w:pPr>
              <w:pStyle w:val="Compact"/>
            </w:pPr>
            <w:r>
              <w:t xml:space="preserve">Any work injury or occupational disease; death triggers an immediate practical escalation</w:t>
            </w:r>
          </w:p>
        </w:tc>
        <w:tc>
          <w:tcPr/>
          <w:p>
            <w:pPr>
              <w:pStyle w:val="Compact"/>
              <w:jc w:val="right"/>
            </w:pPr>
            <w:r>
              <w:rPr>
                <w:b/>
                <w:bCs/>
              </w:rPr>
              <w:t xml:space="preserve">Within 48 hours</w:t>
            </w:r>
            <w:r>
              <w:t xml:space="preserve"> </w:t>
            </w:r>
            <w:r>
              <w:t xml:space="preserve">for any work injury / occupational disease</w:t>
            </w:r>
          </w:p>
        </w:tc>
        <w:tc>
          <w:tcPr/>
          <w:p>
            <w:pPr>
              <w:pStyle w:val="Compact"/>
            </w:pPr>
            <w:r>
              <w:t xml:space="preserve">Employer reports the injury through the applicable MOHRE channel and retains the medical/police evidence required by the work-injury process. Escalate immediately for serious/fatal events rather than using the 48-hour outer limit as an operational target.</w:t>
            </w:r>
          </w:p>
        </w:tc>
        <w:tc>
          <w:tcPr/>
          <w:p>
            <w:pPr>
              <w:pStyle w:val="Compact"/>
            </w:pPr>
            <w:r>
              <w:t xml:space="preserve">Ministerial Resolution No. 657 of 2022 requires the employer to report any work injury or occupational disease within 48 hours. The federal OSH decision also requires immediate reporting of accidents to MOHRE and appropriate authorities.</w:t>
            </w:r>
            <w:r>
              <w:t xml:space="preserve"> </w:t>
            </w:r>
            <w:hyperlink r:id="rId10">
              <w:r>
                <w:rPr>
                  <w:rStyle w:val="Hyperlink"/>
                </w:rPr>
                <w:t xml:space="preserve">1</w:t>
              </w:r>
            </w:hyperlink>
            <w:r>
              <w:t xml:space="preserve"> </w:t>
            </w:r>
            <w:hyperlink r:id="rId12">
              <w:r>
                <w:rPr>
                  <w:rStyle w:val="Hyperlink"/>
                </w:rPr>
                <w:t xml:space="preserve">3</w:t>
              </w:r>
            </w:hyperlink>
          </w:p>
        </w:tc>
      </w:tr>
      <w:tr>
        <w:tc>
          <w:tcPr/>
          <w:p>
            <w:pPr>
              <w:pStyle w:val="Compact"/>
            </w:pPr>
            <w:r>
              <w:rPr>
                <w:b/>
                <w:bCs/>
              </w:rPr>
              <w:t xml:space="preserve">Abu Dhabi concerned Sector Regulatory Authority (SRA)</w:t>
            </w:r>
          </w:p>
        </w:tc>
        <w:tc>
          <w:tcPr/>
          <w:p>
            <w:pPr>
              <w:pStyle w:val="Compact"/>
            </w:pPr>
            <w:r>
              <w:t xml:space="preserve">Fatality</w:t>
            </w:r>
          </w:p>
        </w:tc>
        <w:tc>
          <w:tcPr/>
          <w:p>
            <w:pPr>
              <w:pStyle w:val="Compact"/>
              <w:jc w:val="right"/>
            </w:pPr>
            <w:r>
              <w:rPr>
                <w:b/>
                <w:bCs/>
              </w:rPr>
              <w:t xml:space="preserve">Within 24 hours of incident</w:t>
            </w:r>
          </w:p>
        </w:tc>
        <w:tc>
          <w:tcPr/>
          <w:p>
            <w:pPr>
              <w:pStyle w:val="Compact"/>
            </w:pPr>
            <w:r>
              <w:t xml:space="preserve">Submit</w:t>
            </w:r>
            <w:r>
              <w:t xml:space="preserve"> </w:t>
            </w:r>
            <w:r>
              <w:rPr>
                <w:b/>
                <w:bCs/>
              </w:rPr>
              <w:t xml:space="preserve">Form G — Serious Incident Notification</w:t>
            </w:r>
            <w:r>
              <w:t xml:space="preserve"> </w:t>
            </w:r>
            <w:r>
              <w:t xml:space="preserve">to the concerned SRA, including immediate actions, incident facts and available Police/medical/other reports.</w:t>
            </w:r>
          </w:p>
        </w:tc>
        <w:tc>
          <w:tcPr/>
          <w:p>
            <w:pPr>
              <w:pStyle w:val="Compact"/>
            </w:pPr>
            <w:r>
              <w:t xml:space="preserve">Form G is addressed to the concerned SRA. The form’s official-use section determines whether onward reporting to ADPHC and/or SRA investigation is required. Do not assume every project reports directly to ADPHC.</w:t>
            </w:r>
            <w:r>
              <w:t xml:space="preserve"> </w:t>
            </w:r>
            <w:hyperlink r:id="rId13">
              <w:r>
                <w:rPr>
                  <w:rStyle w:val="Hyperlink"/>
                </w:rPr>
                <w:t xml:space="preserve">4</w:t>
              </w:r>
            </w:hyperlink>
          </w:p>
        </w:tc>
      </w:tr>
      <w:tr>
        <w:tc>
          <w:tcPr/>
          <w:p>
            <w:pPr>
              <w:pStyle w:val="Compact"/>
            </w:pPr>
            <w:r>
              <w:rPr>
                <w:b/>
                <w:bCs/>
              </w:rPr>
              <w:t xml:space="preserve">Abu Dhabi concerned SRA</w:t>
            </w:r>
          </w:p>
        </w:tc>
        <w:tc>
          <w:tcPr/>
          <w:p>
            <w:pPr>
              <w:pStyle w:val="Compact"/>
            </w:pPr>
            <w:r>
              <w:t xml:space="preserve">Other serious incident: serious injury, serious dangerous occurrence, serious occupational illness; include collapse / major LTI where it meets the form classification</w:t>
            </w:r>
          </w:p>
        </w:tc>
        <w:tc>
          <w:tcPr/>
          <w:p>
            <w:pPr>
              <w:pStyle w:val="Compact"/>
              <w:jc w:val="right"/>
            </w:pPr>
            <w:r>
              <w:rPr>
                <w:b/>
                <w:bCs/>
              </w:rPr>
              <w:t xml:space="preserve">Maximum 3 working days from incident date</w:t>
            </w:r>
          </w:p>
        </w:tc>
        <w:tc>
          <w:tcPr/>
          <w:p>
            <w:pPr>
              <w:pStyle w:val="Compact"/>
            </w:pPr>
            <w:r>
              <w:t xml:space="preserve">Submit Form G to the concerned SRA; attach/update Police, medical and other reports when available; maintain a controlled incident log.</w:t>
            </w:r>
          </w:p>
        </w:tc>
        <w:tc>
          <w:tcPr/>
          <w:p>
            <w:pPr>
              <w:pStyle w:val="Compact"/>
            </w:pPr>
            <w:r>
              <w:t xml:space="preserve">Use the earlier project/client deadline if it is stricter. A collapse is reportable through the serious-dangerous-occurrence route; do not defer action simply because the injury outcome is initially uncertain.</w:t>
            </w:r>
            <w:r>
              <w:t xml:space="preserve"> </w:t>
            </w:r>
            <w:hyperlink r:id="rId13">
              <w:r>
                <w:rPr>
                  <w:rStyle w:val="Hyperlink"/>
                </w:rPr>
                <w:t xml:space="preserve">4</w:t>
              </w:r>
            </w:hyperlink>
          </w:p>
        </w:tc>
      </w:tr>
      <w:tr>
        <w:tc>
          <w:tcPr/>
          <w:p>
            <w:pPr>
              <w:pStyle w:val="Compact"/>
            </w:pPr>
            <w:r>
              <w:rPr>
                <w:b/>
                <w:bCs/>
              </w:rPr>
              <w:t xml:space="preserve">Abu Dhabi concerned SRA</w:t>
            </w:r>
          </w:p>
        </w:tc>
        <w:tc>
          <w:tcPr/>
          <w:p>
            <w:pPr>
              <w:pStyle w:val="Compact"/>
            </w:pPr>
            <w:r>
              <w:t xml:space="preserve">Any serious incident notified on Form G, including LTI category, fatality, permanent disability or serious dangerous occurrence</w:t>
            </w:r>
          </w:p>
        </w:tc>
        <w:tc>
          <w:tcPr/>
          <w:p>
            <w:pPr>
              <w:pStyle w:val="Compact"/>
              <w:jc w:val="right"/>
            </w:pPr>
            <w:r>
              <w:rPr>
                <w:b/>
                <w:bCs/>
              </w:rPr>
              <w:t xml:space="preserve">As soon as practicable; maximum 30 calendar days from incident date</w:t>
            </w:r>
          </w:p>
        </w:tc>
        <w:tc>
          <w:tcPr/>
          <w:p>
            <w:pPr>
              <w:pStyle w:val="Compact"/>
            </w:pPr>
            <w:r>
              <w:t xml:space="preserve">Complete</w:t>
            </w:r>
            <w:r>
              <w:t xml:space="preserve"> </w:t>
            </w:r>
            <w:r>
              <w:rPr>
                <w:b/>
                <w:bCs/>
              </w:rPr>
              <w:t xml:space="preserve">Form G1 — Serious Incident Investigation</w:t>
            </w:r>
            <w:r>
              <w:t xml:space="preserve"> </w:t>
            </w:r>
            <w:r>
              <w:t xml:space="preserve">and attach the investigation report, photos, technical findings, causes, corrective actions and evidence of immediate controls.</w:t>
            </w:r>
          </w:p>
        </w:tc>
        <w:tc>
          <w:tcPr/>
          <w:p>
            <w:pPr>
              <w:pStyle w:val="Compact"/>
            </w:pPr>
            <w:r>
              <w:t xml:space="preserve">Form G1 covers lost-time injury categories and cave-in/collapse mechanisms. It is an investigation submission, not a substitute for the earlier Form G notice.</w:t>
            </w:r>
            <w:r>
              <w:t xml:space="preserve"> </w:t>
            </w:r>
            <w:hyperlink r:id="rId14">
              <w:r>
                <w:rPr>
                  <w:rStyle w:val="Hyperlink"/>
                </w:rPr>
                <w:t xml:space="preserve">5</w:t>
              </w:r>
            </w:hyperlink>
          </w:p>
        </w:tc>
      </w:tr>
      <w:tr>
        <w:tc>
          <w:tcPr/>
          <w:p>
            <w:pPr>
              <w:pStyle w:val="Compact"/>
            </w:pPr>
            <w:r>
              <w:rPr>
                <w:b/>
                <w:bCs/>
              </w:rPr>
              <w:t xml:space="preserve">Abu Dhabi DMT / municipality permit route</w:t>
            </w:r>
          </w:p>
        </w:tc>
        <w:tc>
          <w:tcPr/>
          <w:p>
            <w:pPr>
              <w:pStyle w:val="Compact"/>
            </w:pPr>
            <w:r>
              <w:t xml:space="preserve">Incident at a DMT/municipal building-permit project, especially where construction safety, excavation/shoring or emergency permit conditions are affected</w:t>
            </w:r>
          </w:p>
        </w:tc>
        <w:tc>
          <w:tcPr/>
          <w:p>
            <w:pPr>
              <w:pStyle w:val="Compact"/>
              <w:jc w:val="right"/>
            </w:pPr>
            <w:r>
              <w:rPr>
                <w:b/>
                <w:bCs/>
              </w:rPr>
              <w:t xml:space="preserve">No separate public universal clock verified</w:t>
            </w:r>
          </w:p>
        </w:tc>
        <w:tc>
          <w:tcPr/>
          <w:p>
            <w:pPr>
              <w:pStyle w:val="Compact"/>
            </w:pPr>
            <w:r>
              <w:t xml:space="preserve">Notify the project’s nominated DMT/MEPS/municipal permit contact and supervising consultant in parallel with the Form G route. Suspend affected work, preserve scene, request inspection/technical review as permit conditions require and retain the notification receipt.</w:t>
            </w:r>
          </w:p>
        </w:tc>
        <w:tc>
          <w:tcPr/>
          <w:p>
            <w:pPr>
              <w:pStyle w:val="Compact"/>
            </w:pPr>
            <w:r>
              <w:t xml:space="preserve">The DMT/municipal HSE-plan guideline directs the use of Form G for notification and Form G1 for investigation. The public material reviewed does not state a separate all-project DMT hour-by-hour notification period; the approved permit and SRA route control.</w:t>
            </w:r>
            <w:r>
              <w:t xml:space="preserve"> </w:t>
            </w:r>
            <w:hyperlink r:id="rId15">
              <w:r>
                <w:rPr>
                  <w:rStyle w:val="Hyperlink"/>
                </w:rPr>
                <w:t xml:space="preserve">6</w:t>
              </w:r>
            </w:hyperlink>
          </w:p>
        </w:tc>
      </w:tr>
      <w:tr>
        <w:tc>
          <w:tcPr/>
          <w:p>
            <w:pPr>
              <w:pStyle w:val="Compact"/>
            </w:pPr>
            <w:r>
              <w:rPr>
                <w:b/>
                <w:bCs/>
              </w:rPr>
              <w:t xml:space="preserve">Dubai Police / emergency services</w:t>
            </w:r>
          </w:p>
        </w:tc>
        <w:tc>
          <w:tcPr/>
          <w:p>
            <w:pPr>
              <w:pStyle w:val="Compact"/>
            </w:pPr>
            <w:r>
              <w:t xml:space="preserve">Serious accident or LTI needing hospital transfer; collapse or rescue event</w:t>
            </w:r>
          </w:p>
        </w:tc>
        <w:tc>
          <w:tcPr/>
          <w:p>
            <w:pPr>
              <w:pStyle w:val="Compact"/>
              <w:jc w:val="right"/>
            </w:pPr>
            <w:r>
              <w:rPr>
                <w:b/>
                <w:bCs/>
              </w:rPr>
              <w:t xml:space="preserve">Immediately</w:t>
            </w:r>
          </w:p>
        </w:tc>
        <w:tc>
          <w:tcPr/>
          <w:p>
            <w:pPr>
              <w:pStyle w:val="Compact"/>
            </w:pPr>
            <w:r>
              <w:t xml:space="preserve">Inform Police on</w:t>
            </w:r>
            <w:r>
              <w:t xml:space="preserve"> </w:t>
            </w:r>
            <w:r>
              <w:rPr>
                <w:b/>
                <w:bCs/>
              </w:rPr>
              <w:t xml:space="preserve">999</w:t>
            </w:r>
            <w:r>
              <w:t xml:space="preserve">; preserve emergency call details and hospital/medical records.</w:t>
            </w:r>
          </w:p>
        </w:tc>
        <w:tc>
          <w:tcPr/>
          <w:p>
            <w:pPr>
              <w:pStyle w:val="Compact"/>
            </w:pPr>
            <w:r>
              <w:t xml:space="preserve">This is explicit in the official Dubai construction-safety manual search result. Emergency response is not delayed by internal reporting or document collection.</w:t>
            </w:r>
            <w:r>
              <w:t xml:space="preserve"> </w:t>
            </w:r>
            <w:hyperlink r:id="rId11">
              <w:r>
                <w:rPr>
                  <w:rStyle w:val="Hyperlink"/>
                </w:rPr>
                <w:t xml:space="preserve">2</w:t>
              </w:r>
            </w:hyperlink>
          </w:p>
        </w:tc>
      </w:tr>
      <w:tr>
        <w:tc>
          <w:tcPr/>
          <w:p>
            <w:pPr>
              <w:pStyle w:val="Compact"/>
            </w:pPr>
            <w:r>
              <w:rPr>
                <w:b/>
                <w:bCs/>
              </w:rPr>
              <w:t xml:space="preserve">Dubai Municipality / Building in Dubai permit route</w:t>
            </w:r>
          </w:p>
        </w:tc>
        <w:tc>
          <w:tcPr/>
          <w:p>
            <w:pPr>
              <w:pStyle w:val="Compact"/>
            </w:pPr>
            <w:r>
              <w:t xml:space="preserve">Construction incident, collapse, lift event or serious LTI at a municipal-permit project</w:t>
            </w:r>
          </w:p>
        </w:tc>
        <w:tc>
          <w:tcPr/>
          <w:p>
            <w:pPr>
              <w:pStyle w:val="Compact"/>
              <w:jc w:val="right"/>
            </w:pPr>
            <w:r>
              <w:rPr>
                <w:b/>
                <w:bCs/>
              </w:rPr>
              <w:t xml:space="preserve">No universal public statutory hour limit independently verified in current accessible source</w:t>
            </w:r>
          </w:p>
        </w:tc>
        <w:tc>
          <w:tcPr/>
          <w:p>
            <w:pPr>
              <w:pStyle w:val="Compact"/>
            </w:pPr>
            <w:r>
              <w:t xml:space="preserve">Notify the project’s Dubai Municipality / Building in Dubai permit contact, supervising consultant, developer/master developer and client immediately under the emergency plan; lodge the incident report in the required project/permit channel and retain acknowledgement.</w:t>
            </w:r>
          </w:p>
        </w:tc>
        <w:tc>
          <w:tcPr/>
          <w:p>
            <w:pPr>
              <w:pStyle w:val="Compact"/>
            </w:pPr>
            <w:r>
              <w:t xml:space="preserve">The accessible official manual establishes emergency Police notification but its full current incident-reporting procedure could not be retrieved from the public portal in this review. Do</w:t>
            </w:r>
            <w:r>
              <w:t xml:space="preserve"> </w:t>
            </w:r>
            <w:r>
              <w:rPr>
                <w:b/>
                <w:bCs/>
              </w:rPr>
              <w:t xml:space="preserve">not</w:t>
            </w:r>
            <w:r>
              <w:t xml:space="preserve"> </w:t>
            </w:r>
            <w:r>
              <w:t xml:space="preserve">rely on an unsupported universal “24-hour DM report” claim. Confirm the active permit conditions and current DM instruction in writing before work begins.</w:t>
            </w:r>
            <w:r>
              <w:t xml:space="preserve"> </w:t>
            </w:r>
            <w:hyperlink r:id="rId11">
              <w:r>
                <w:rPr>
                  <w:rStyle w:val="Hyperlink"/>
                </w:rPr>
                <w:t xml:space="preserve">2</w:t>
              </w:r>
            </w:hyperlink>
          </w:p>
        </w:tc>
      </w:tr>
      <w:tr>
        <w:tc>
          <w:tcPr/>
          <w:p>
            <w:pPr>
              <w:pStyle w:val="Compact"/>
            </w:pPr>
            <w:r>
              <w:rPr>
                <w:b/>
                <w:bCs/>
              </w:rPr>
              <w:t xml:space="preserve">Project / client / insurer / third parties</w:t>
            </w:r>
          </w:p>
        </w:tc>
        <w:tc>
          <w:tcPr/>
          <w:p>
            <w:pPr>
              <w:pStyle w:val="Compact"/>
            </w:pPr>
            <w:r>
              <w:t xml:space="preserve">Any serious event or potential claim / third-party impact</w:t>
            </w:r>
          </w:p>
        </w:tc>
        <w:tc>
          <w:tcPr/>
          <w:p>
            <w:pPr>
              <w:pStyle w:val="Compact"/>
              <w:jc w:val="right"/>
            </w:pPr>
            <w:r>
              <w:rPr>
                <w:b/>
                <w:bCs/>
              </w:rPr>
              <w:t xml:space="preserve">Immediately or as contract/plan requires</w:t>
            </w:r>
          </w:p>
        </w:tc>
        <w:tc>
          <w:tcPr/>
          <w:p>
            <w:pPr>
              <w:pStyle w:val="Compact"/>
            </w:pPr>
            <w:r>
              <w:t xml:space="preserve">Trigger client, developer, insurer, utility, adjacent-property and temporary-works/geotechnical notifications; preserve monitoring, CCTV, lift-plan and permit records.</w:t>
            </w:r>
          </w:p>
        </w:tc>
        <w:tc>
          <w:tcPr/>
          <w:p>
            <w:pPr>
              <w:pStyle w:val="Compact"/>
            </w:pPr>
            <w:r>
              <w:t xml:space="preserve">Contractual/project requirements often require faster notification than the outer statutory deadline. They do not replace authority reporting.</w:t>
            </w:r>
          </w:p>
        </w:tc>
      </w:tr>
      <w:tr>
        <w:tc>
          <w:tcPr/>
          <w:p>
            <w:pPr>
              <w:pStyle w:val="Compact"/>
            </w:pPr>
            <w:r>
              <w:rPr>
                <w:b/>
                <w:bCs/>
              </w:rPr>
              <w:t xml:space="preserve">Abu Dhabi quarterly performance reporting</w:t>
            </w:r>
          </w:p>
        </w:tc>
        <w:tc>
          <w:tcPr/>
          <w:p>
            <w:pPr>
              <w:pStyle w:val="Compact"/>
            </w:pPr>
            <w:r>
              <w:t xml:space="preserve">Incidents aggregate into OSH performance reporting</w:t>
            </w:r>
          </w:p>
        </w:tc>
        <w:tc>
          <w:tcPr/>
          <w:p>
            <w:pPr>
              <w:pStyle w:val="Compact"/>
              <w:jc w:val="right"/>
            </w:pPr>
            <w:r>
              <w:rPr>
                <w:b/>
                <w:bCs/>
              </w:rPr>
              <w:t xml:space="preserve">Quarterly, through Form E to concerned SRA</w:t>
            </w:r>
          </w:p>
        </w:tc>
        <w:tc>
          <w:tcPr/>
          <w:p>
            <w:pPr>
              <w:pStyle w:val="Compact"/>
            </w:pPr>
            <w:r>
              <w:t xml:space="preserve">Ensure the serious incident and LTI are accurately included in the entity’s quarterly performance process after immediate notifications and Form G/G1 obligations.</w:t>
            </w:r>
          </w:p>
        </w:tc>
        <w:tc>
          <w:tcPr/>
          <w:p>
            <w:pPr>
              <w:pStyle w:val="Compact"/>
            </w:pPr>
            <w:r>
              <w:t xml:space="preserve">This is a periodic reporting stream and never delays emergency or serious-incident notification.</w:t>
            </w:r>
            <w:r>
              <w:t xml:space="preserve"> </w:t>
            </w:r>
            <w:hyperlink r:id="rId16">
              <w:r>
                <w:rPr>
                  <w:rStyle w:val="Hyperlink"/>
                </w:rPr>
                <w:t xml:space="preserve">7</w:t>
              </w:r>
            </w:hyperlink>
          </w:p>
        </w:tc>
      </w:tr>
    </w:tbl>
    <w:bookmarkStart w:id="17" w:name="immediate-practical-sequence"/>
    <w:p>
      <w:pPr>
        <w:pStyle w:val="Heading3"/>
      </w:pPr>
      <w:r>
        <w:t xml:space="preserve">2.1 Immediate practical sequence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Time window</w:t>
            </w:r>
          </w:p>
        </w:tc>
        <w:tc>
          <w:tcPr/>
          <w:p>
            <w:pPr>
              <w:pStyle w:val="Compact"/>
            </w:pPr>
            <w:r>
              <w:t xml:space="preserve">Mandatory project action</w:t>
            </w:r>
          </w:p>
        </w:tc>
        <w:tc>
          <w:tcPr/>
          <w:p>
            <w:pPr>
              <w:pStyle w:val="Compact"/>
            </w:pPr>
            <w:r>
              <w:t xml:space="preserve">Minimum accountable roles</w:t>
            </w:r>
          </w:p>
        </w:tc>
      </w:tr>
      <w:tr>
        <w:tc>
          <w:tcPr/>
          <w:p>
            <w:pPr>
              <w:pStyle w:val="Compact"/>
            </w:pPr>
            <w:r>
              <w:rPr>
                <w:b/>
                <w:bCs/>
              </w:rPr>
              <w:t xml:space="preserve">0–15 minutes</w:t>
            </w:r>
          </w:p>
        </w:tc>
        <w:tc>
          <w:tcPr/>
          <w:p>
            <w:pPr>
              <w:pStyle w:val="Compact"/>
            </w:pPr>
            <w:r>
              <w:t xml:space="preserve">Rescue, medical response, emergency call, all-stop, isolate crane/pump/temporary power as appropriate, establish collapse/exclusion zone and account for people.</w:t>
            </w:r>
          </w:p>
        </w:tc>
        <w:tc>
          <w:tcPr/>
          <w:p>
            <w:pPr>
              <w:pStyle w:val="Compact"/>
            </w:pPr>
            <w:r>
              <w:t xml:space="preserve">Incident Controller, lifting supervisor, rescue/HSE lead, security, dewatering/electrical supervisor.</w:t>
            </w:r>
          </w:p>
        </w:tc>
      </w:tr>
      <w:tr>
        <w:tc>
          <w:tcPr/>
          <w:p>
            <w:pPr>
              <w:pStyle w:val="Compact"/>
            </w:pPr>
            <w:r>
              <w:rPr>
                <w:b/>
                <w:bCs/>
              </w:rPr>
              <w:t xml:space="preserve">Within the first hour</w:t>
            </w:r>
          </w:p>
        </w:tc>
        <w:tc>
          <w:tcPr/>
          <w:p>
            <w:pPr>
              <w:pStyle w:val="Compact"/>
            </w:pPr>
            <w:r>
              <w:t xml:space="preserve">Notify project leadership, client/developer/consultant and the applicable SRA/DMT/DM permit contacts; preserve scene and capture perishable information without compromising rescue or police control.</w:t>
            </w:r>
          </w:p>
        </w:tc>
        <w:tc>
          <w:tcPr/>
          <w:p>
            <w:pPr>
              <w:pStyle w:val="Compact"/>
            </w:pPr>
            <w:r>
              <w:t xml:space="preserve">Project Manager, HSE Manager, Supervising Consultant.</w:t>
            </w:r>
          </w:p>
        </w:tc>
      </w:tr>
      <w:tr>
        <w:tc>
          <w:tcPr/>
          <w:p>
            <w:pPr>
              <w:pStyle w:val="Compact"/>
            </w:pPr>
            <w:r>
              <w:rPr>
                <w:b/>
                <w:bCs/>
              </w:rPr>
              <w:t xml:space="preserve">Same shift</w:t>
            </w:r>
          </w:p>
        </w:tc>
        <w:tc>
          <w:tcPr/>
          <w:p>
            <w:pPr>
              <w:pStyle w:val="Compact"/>
            </w:pPr>
            <w:r>
              <w:t xml:space="preserve">Suspend affected permits, conduct initial factual briefing, preserve PTW/lift/formwork/dewatering/monitoring records, identify Police/medical reports, appoint investigation lead and issue workforce safety communication.</w:t>
            </w:r>
          </w:p>
        </w:tc>
        <w:tc>
          <w:tcPr/>
          <w:p>
            <w:pPr>
              <w:pStyle w:val="Compact"/>
            </w:pPr>
            <w:r>
              <w:t xml:space="preserve">Principal Contractor, TWC/geotechnical engineer, appointed person, formwork lead.</w:t>
            </w:r>
          </w:p>
        </w:tc>
      </w:tr>
      <w:tr>
        <w:tc>
          <w:tcPr/>
          <w:p>
            <w:pPr>
              <w:pStyle w:val="Compact"/>
            </w:pPr>
            <w:r>
              <w:rPr>
                <w:b/>
                <w:bCs/>
              </w:rPr>
              <w:t xml:space="preserve">Authority deadline</w:t>
            </w:r>
          </w:p>
        </w:tc>
        <w:tc>
          <w:tcPr/>
          <w:p>
            <w:pPr>
              <w:pStyle w:val="Compact"/>
            </w:pPr>
            <w:r>
              <w:t xml:space="preserve">File Form G / MOHRE report / municipal-permit notification as applicable, retain receipt and document any authority direction.</w:t>
            </w:r>
          </w:p>
        </w:tc>
        <w:tc>
          <w:tcPr/>
          <w:p>
            <w:pPr>
              <w:pStyle w:val="Compact"/>
            </w:pPr>
            <w:r>
              <w:t xml:space="preserve">Authorised entity representative / HSE Manager.</w:t>
            </w:r>
          </w:p>
        </w:tc>
      </w:tr>
      <w:tr>
        <w:tc>
          <w:tcPr/>
          <w:p>
            <w:pPr>
              <w:pStyle w:val="Compact"/>
            </w:pPr>
            <w:r>
              <w:rPr>
                <w:b/>
                <w:bCs/>
              </w:rPr>
              <w:t xml:space="preserve">As soon as practicable; not later than 30 calendar days in Abu Dhabi serious cases</w:t>
            </w:r>
          </w:p>
        </w:tc>
        <w:tc>
          <w:tcPr/>
          <w:p>
            <w:pPr>
              <w:pStyle w:val="Compact"/>
            </w:pPr>
            <w:r>
              <w:t xml:space="preserve">Submit Form G1 with investigation report and complete corrective-action tracker; support authority investigation and close only after technical and management release.</w:t>
            </w:r>
          </w:p>
        </w:tc>
        <w:tc>
          <w:tcPr/>
          <w:p>
            <w:pPr>
              <w:pStyle w:val="Compact"/>
            </w:pPr>
            <w:r>
              <w:t xml:space="preserve">Investigation lead, Project Manager, relevant designer/temporary-works authority.</w:t>
            </w:r>
          </w:p>
        </w:tc>
      </w:tr>
    </w:tbl>
    <w:bookmarkEnd w:id="17"/>
    <w:bookmarkEnd w:id="18"/>
    <w:bookmarkStart w:id="19" w:name="X23cdd5cd5d2ab3236978e55519e877cd37409cd"/>
    <w:p>
      <w:pPr>
        <w:pStyle w:val="Heading2"/>
      </w:pPr>
      <w:r>
        <w:t xml:space="preserve">3. Report contents and scene-preservation record</w:t>
      </w:r>
    </w:p>
    <w:p>
      <w:pPr>
        <w:pStyle w:val="FirstParagraph"/>
      </w:pPr>
      <w:r>
        <w:t xml:space="preserve">The immediate report must distinguish</w:t>
      </w:r>
      <w:r>
        <w:t xml:space="preserve"> </w:t>
      </w:r>
      <w:r>
        <w:rPr>
          <w:b/>
          <w:bCs/>
        </w:rPr>
        <w:t xml:space="preserve">facts known, actions taken and matters under investigation</w:t>
      </w:r>
      <w:r>
        <w:t xml:space="preserve">. Do not speculate on cause or allocate blame before the technical investigation is complete.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Evidence class</w:t>
            </w:r>
          </w:p>
        </w:tc>
        <w:tc>
          <w:tcPr/>
          <w:p>
            <w:pPr>
              <w:pStyle w:val="Compact"/>
            </w:pPr>
            <w:r>
              <w:t xml:space="preserve">Preserve / obtain</w:t>
            </w:r>
          </w:p>
        </w:tc>
        <w:tc>
          <w:tcPr/>
          <w:p>
            <w:pPr>
              <w:pStyle w:val="Compact"/>
            </w:pPr>
            <w:r>
              <w:t xml:space="preserve">SIMOPS examples</w:t>
            </w:r>
          </w:p>
        </w:tc>
      </w:tr>
      <w:tr>
        <w:tc>
          <w:tcPr/>
          <w:p>
            <w:pPr>
              <w:pStyle w:val="Compact"/>
            </w:pPr>
            <w:r>
              <w:rPr>
                <w:b/>
                <w:bCs/>
              </w:rPr>
              <w:t xml:space="preserve">People and medical</w:t>
            </w:r>
          </w:p>
        </w:tc>
        <w:tc>
          <w:tcPr/>
          <w:p>
            <w:pPr>
              <w:pStyle w:val="Compact"/>
            </w:pPr>
            <w:r>
              <w:t xml:space="preserve">Names, employer/subcontractor, role, shift, first-aid/medical handover, emergency-call and Police reference.</w:t>
            </w:r>
          </w:p>
        </w:tc>
        <w:tc>
          <w:tcPr/>
          <w:p>
            <w:pPr>
              <w:pStyle w:val="Compact"/>
            </w:pPr>
            <w:r>
              <w:t xml:space="preserve">Banksman, rigger, crane operator, rebar/formwork crew, pump operator, rescue lead.</w:t>
            </w:r>
          </w:p>
        </w:tc>
      </w:tr>
      <w:tr>
        <w:tc>
          <w:tcPr/>
          <w:p>
            <w:pPr>
              <w:pStyle w:val="Compact"/>
            </w:pPr>
            <w:r>
              <w:rPr>
                <w:b/>
                <w:bCs/>
              </w:rPr>
              <w:t xml:space="preserve">Permit and planning</w:t>
            </w:r>
          </w:p>
        </w:tc>
        <w:tc>
          <w:tcPr/>
          <w:p>
            <w:pPr>
              <w:pStyle w:val="Compact"/>
            </w:pPr>
            <w:r>
              <w:t xml:space="preserve">Current excavation PTW, lift plan, lift permit, formwork release, concrete-pour release, LOTO/isolation certificate, SIMOPS plan, MSRA and shift handover.</w:t>
            </w:r>
          </w:p>
        </w:tc>
        <w:tc>
          <w:tcPr/>
          <w:p>
            <w:pPr>
              <w:pStyle w:val="Compact"/>
            </w:pPr>
            <w:r>
              <w:t xml:space="preserve">Confirm whether the actual load, crane radius, zone, formwork floor and dewatering arrangement matched approved documentation.</w:t>
            </w:r>
          </w:p>
        </w:tc>
      </w:tr>
      <w:tr>
        <w:tc>
          <w:tcPr/>
          <w:p>
            <w:pPr>
              <w:pStyle w:val="Compact"/>
            </w:pPr>
            <w:r>
              <w:rPr>
                <w:b/>
                <w:bCs/>
              </w:rPr>
              <w:t xml:space="preserve">Technical state</w:t>
            </w:r>
          </w:p>
        </w:tc>
        <w:tc>
          <w:tcPr/>
          <w:p>
            <w:pPr>
              <w:pStyle w:val="Compact"/>
            </w:pPr>
            <w:r>
              <w:t xml:space="preserve">Shoring/strut/anchor drawings, temporary-works registers, monitoring readings, water/pump logs, weather, crane telematics/load chart and equipment certificates.</w:t>
            </w:r>
          </w:p>
        </w:tc>
        <w:tc>
          <w:tcPr/>
          <w:p>
            <w:pPr>
              <w:pStyle w:val="Compact"/>
            </w:pPr>
            <w:r>
              <w:t xml:space="preserve">Inclinometer/piezometer data, pump status, load weight, radius, exclusion-zone barrier position.</w:t>
            </w:r>
          </w:p>
        </w:tc>
      </w:tr>
      <w:tr>
        <w:tc>
          <w:tcPr/>
          <w:p>
            <w:pPr>
              <w:pStyle w:val="Compact"/>
            </w:pPr>
            <w:r>
              <w:rPr>
                <w:b/>
                <w:bCs/>
              </w:rPr>
              <w:t xml:space="preserve">Physical scene</w:t>
            </w:r>
          </w:p>
        </w:tc>
        <w:tc>
          <w:tcPr/>
          <w:p>
            <w:pPr>
              <w:pStyle w:val="Compact"/>
            </w:pPr>
            <w:r>
              <w:t xml:space="preserve">Photographs/video, CCTV, drone evidence only if permitted, dimensions, barrier condition, debris/struck-object position and material storage/landing locations.</w:t>
            </w:r>
          </w:p>
        </w:tc>
        <w:tc>
          <w:tcPr/>
          <w:p>
            <w:pPr>
              <w:pStyle w:val="Compact"/>
            </w:pPr>
            <w:r>
              <w:t xml:space="preserve">Do not move a suspended load, formwork or failed support except for life safety or under emergency/authority direction.</w:t>
            </w:r>
          </w:p>
        </w:tc>
      </w:tr>
      <w:tr>
        <w:tc>
          <w:tcPr/>
          <w:p>
            <w:pPr>
              <w:pStyle w:val="Compact"/>
            </w:pPr>
            <w:r>
              <w:rPr>
                <w:b/>
                <w:bCs/>
              </w:rPr>
              <w:t xml:space="preserve">Witness record</w:t>
            </w:r>
          </w:p>
        </w:tc>
        <w:tc>
          <w:tcPr/>
          <w:p>
            <w:pPr>
              <w:pStyle w:val="Compact"/>
            </w:pPr>
            <w:r>
              <w:t xml:space="preserve">Separate factual accounts taken promptly and without group coaching.</w:t>
            </w:r>
          </w:p>
        </w:tc>
        <w:tc>
          <w:tcPr/>
          <w:p>
            <w:pPr>
              <w:pStyle w:val="Compact"/>
            </w:pPr>
            <w:r>
              <w:t xml:space="preserve">Record communication method, signals/radio traffic and stop-work command timing.</w:t>
            </w:r>
          </w:p>
        </w:tc>
      </w:tr>
    </w:tbl>
    <w:bookmarkEnd w:id="19"/>
    <w:bookmarkStart w:id="26" w:name="Xe5e0048d273b4d8cb7a3fb51218b6549e4fe189"/>
    <w:p>
      <w:pPr>
        <w:pStyle w:val="Heading2"/>
      </w:pPr>
      <w:r>
        <w:t xml:space="preserve">4. Crane-to-formwork separation and exclusion-zone audit protocol</w:t>
      </w:r>
    </w:p>
    <w:bookmarkStart w:id="20" w:name="governing-principle"/>
    <w:p>
      <w:pPr>
        <w:pStyle w:val="Heading3"/>
      </w:pPr>
      <w:r>
        <w:t xml:space="preserve">4.1 Governing principle</w:t>
      </w:r>
    </w:p>
    <w:p>
      <w:pPr>
        <w:pStyle w:val="FirstParagraph"/>
      </w:pPr>
      <w:r>
        <w:t xml:space="preserve">There is</w:t>
      </w:r>
      <w:r>
        <w:t xml:space="preserve"> </w:t>
      </w:r>
      <w:r>
        <w:rPr>
          <w:b/>
          <w:bCs/>
        </w:rPr>
        <w:t xml:space="preserve">no defensible single UAE-wide default number of metres</w:t>
      </w:r>
      <w:r>
        <w:t xml:space="preserve"> </w:t>
      </w:r>
      <w:r>
        <w:t xml:space="preserve">that makes a crane lift safe above active formwork or reinforcement crews. The required separation is determined by the approved lift plan, the maximum credible load path/swing/drop envelope, crane configuration, load geometry, formwork/floor capacity, actual workface layout, wind and visibility, and the temporary-works designer’s restrictions.</w:t>
      </w:r>
    </w:p>
    <w:p>
      <w:pPr>
        <w:pStyle w:val="BlockText"/>
      </w:pPr>
      <w:r>
        <w:rPr>
          <w:b/>
          <w:bCs/>
        </w:rPr>
        <w:t xml:space="preserve">The audit standard is not “are people a fixed distance away?” It is “are people and formwork activities physically outside the approved lift/fall zone, and are the zone boundaries intact for the current lift?”</w:t>
      </w:r>
    </w:p>
    <w:p>
      <w:pPr>
        <w:pStyle w:val="FirstParagraph"/>
      </w:pPr>
      <w:r>
        <w:t xml:space="preserve">The exclusion zone must be established before the lift begins, not improvised by the banksman once the load is moving. No routine structural work may continue below a suspended load or in a zone where falling load, hook block, rigging, crane slew or uncontrolled load rotation can affect people or formwork.</w:t>
      </w:r>
    </w:p>
    <w:bookmarkEnd w:id="20"/>
    <w:bookmarkStart w:id="21" w:name="separation-distance-determination-sheet"/>
    <w:p>
      <w:pPr>
        <w:pStyle w:val="Heading3"/>
      </w:pPr>
      <w:r>
        <w:t xml:space="preserve">4.2 Separation-distance determination sheet</w:t>
      </w:r>
    </w:p>
    <w:p>
      <w:pPr>
        <w:pStyle w:val="FirstParagraph"/>
      </w:pPr>
      <w:r>
        <w:t xml:space="preserve">The appointed person and temporary-works/formwork authority must complete this sheet for each repetitive lift family and revise it when conditions change.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Input</w:t>
            </w:r>
          </w:p>
        </w:tc>
        <w:tc>
          <w:tcPr/>
          <w:p>
            <w:pPr>
              <w:pStyle w:val="Compact"/>
            </w:pPr>
            <w:r>
              <w:t xml:space="preserve">Required record</w:t>
            </w:r>
          </w:p>
        </w:tc>
        <w:tc>
          <w:tcPr/>
          <w:p>
            <w:pPr>
              <w:pStyle w:val="Compact"/>
            </w:pPr>
            <w:r>
              <w:t xml:space="preserve">Acceptance standard</w:t>
            </w:r>
          </w:p>
        </w:tc>
      </w:tr>
      <w:tr>
        <w:tc>
          <w:tcPr/>
          <w:p>
            <w:pPr>
              <w:pStyle w:val="Compact"/>
            </w:pPr>
            <w:r>
              <w:rPr>
                <w:b/>
                <w:bCs/>
              </w:rPr>
              <w:t xml:space="preserve">Lift identification</w:t>
            </w:r>
          </w:p>
        </w:tc>
        <w:tc>
          <w:tcPr/>
          <w:p>
            <w:pPr>
              <w:pStyle w:val="Compact"/>
            </w:pPr>
            <w:r>
              <w:t xml:space="preserve">Lift-plan ID, crane ID, load description, verified mass, rigging and lifting points, lift category.</w:t>
            </w:r>
          </w:p>
        </w:tc>
        <w:tc>
          <w:tcPr/>
          <w:p>
            <w:pPr>
              <w:pStyle w:val="Compact"/>
            </w:pPr>
            <w:r>
              <w:t xml:space="preserve">Matches the current approved lift plan and equipment certificates.</w:t>
            </w:r>
          </w:p>
        </w:tc>
      </w:tr>
      <w:tr>
        <w:tc>
          <w:tcPr/>
          <w:p>
            <w:pPr>
              <w:pStyle w:val="Compact"/>
            </w:pPr>
            <w:r>
              <w:rPr>
                <w:b/>
                <w:bCs/>
              </w:rPr>
              <w:t xml:space="preserve">Travel / landing path</w:t>
            </w:r>
          </w:p>
        </w:tc>
        <w:tc>
          <w:tcPr/>
          <w:p>
            <w:pPr>
              <w:pStyle w:val="Compact"/>
            </w:pPr>
            <w:r>
              <w:t xml:space="preserve">Plan view and elevation from pick to landing; hook projection, load footprint, final placement and recovery route.</w:t>
            </w:r>
          </w:p>
        </w:tc>
        <w:tc>
          <w:tcPr/>
          <w:p>
            <w:pPr>
              <w:pStyle w:val="Compact"/>
            </w:pPr>
            <w:r>
              <w:t xml:space="preserve">Does not pass over occupied formwork, rebar, evacuation route, active concrete-pour zone or unsupported/overloaded temporary works.</w:t>
            </w:r>
          </w:p>
        </w:tc>
      </w:tr>
      <w:tr>
        <w:tc>
          <w:tcPr/>
          <w:p>
            <w:pPr>
              <w:pStyle w:val="Compact"/>
            </w:pPr>
            <w:r>
              <w:rPr>
                <w:b/>
                <w:bCs/>
              </w:rPr>
              <w:t xml:space="preserve">Maximum credible envelope</w:t>
            </w:r>
          </w:p>
        </w:tc>
        <w:tc>
          <w:tcPr/>
          <w:p>
            <w:pPr>
              <w:pStyle w:val="Compact"/>
            </w:pPr>
            <w:r>
              <w:t xml:space="preserve">Allowance for load length/width, hook block, rigging, controlled slew/rotation, minimum clearance, dynamic movement and the defined fall/drop area.</w:t>
            </w:r>
          </w:p>
        </w:tc>
        <w:tc>
          <w:tcPr/>
          <w:p>
            <w:pPr>
              <w:pStyle w:val="Compact"/>
            </w:pPr>
            <w:r>
              <w:t xml:space="preserve">Boundary is designed/approved in the lift plan; no generic distance is substituted.</w:t>
            </w:r>
          </w:p>
        </w:tc>
      </w:tr>
      <w:tr>
        <w:tc>
          <w:tcPr/>
          <w:p>
            <w:pPr>
              <w:pStyle w:val="Compact"/>
            </w:pPr>
            <w:r>
              <w:rPr>
                <w:b/>
                <w:bCs/>
              </w:rPr>
              <w:t xml:space="preserve">Formwork occupation boundary</w:t>
            </w:r>
          </w:p>
        </w:tc>
        <w:tc>
          <w:tcPr/>
          <w:p>
            <w:pPr>
              <w:pStyle w:val="Compact"/>
            </w:pPr>
            <w:r>
              <w:t xml:space="preserve">Exact workfront, access walkway, leading edges, delivery/laydown zone and emergency route.</w:t>
            </w:r>
          </w:p>
        </w:tc>
        <w:tc>
          <w:tcPr/>
          <w:p>
            <w:pPr>
              <w:pStyle w:val="Compact"/>
            </w:pPr>
            <w:r>
              <w:t xml:space="preserve">Entire occupied/accessible boundary is outside the approved exclusion envelope before load movement.</w:t>
            </w:r>
          </w:p>
        </w:tc>
      </w:tr>
      <w:tr>
        <w:tc>
          <w:tcPr/>
          <w:p>
            <w:pPr>
              <w:pStyle w:val="Compact"/>
            </w:pPr>
            <w:r>
              <w:rPr>
                <w:b/>
                <w:bCs/>
              </w:rPr>
              <w:t xml:space="preserve">Crane / ground / excavation interface</w:t>
            </w:r>
          </w:p>
        </w:tc>
        <w:tc>
          <w:tcPr/>
          <w:p>
            <w:pPr>
              <w:pStyle w:val="Compact"/>
            </w:pPr>
            <w:r>
              <w:t xml:space="preserve">Crane radius, outrigger/bearing arrangement, set-back, shoring surcharge limit, ground condition, delivery/plant conflict.</w:t>
            </w:r>
          </w:p>
        </w:tc>
        <w:tc>
          <w:tcPr/>
          <w:p>
            <w:pPr>
              <w:pStyle w:val="Compact"/>
            </w:pPr>
            <w:r>
              <w:t xml:space="preserve">Accepted by appointed person and TWC/geotechnical authority where excavation influence applies.</w:t>
            </w:r>
          </w:p>
        </w:tc>
      </w:tr>
      <w:tr>
        <w:tc>
          <w:tcPr/>
          <w:p>
            <w:pPr>
              <w:pStyle w:val="Compact"/>
            </w:pPr>
            <w:r>
              <w:rPr>
                <w:b/>
                <w:bCs/>
              </w:rPr>
              <w:t xml:space="preserve">Floor / falsework capacity</w:t>
            </w:r>
          </w:p>
        </w:tc>
        <w:tc>
          <w:tcPr/>
          <w:p>
            <w:pPr>
              <w:pStyle w:val="Compact"/>
            </w:pPr>
            <w:r>
              <w:t xml:space="preserve">Actual landing load, impact/dynamic consideration, pour status, formwork release and storage limit.</w:t>
            </w:r>
          </w:p>
        </w:tc>
        <w:tc>
          <w:tcPr/>
          <w:p>
            <w:pPr>
              <w:pStyle w:val="Compact"/>
            </w:pPr>
            <w:r>
              <w:t xml:space="preserve">Structural/formwork authority accepts the floor/falsework capacity and landing location.</w:t>
            </w:r>
          </w:p>
        </w:tc>
      </w:tr>
      <w:tr>
        <w:tc>
          <w:tcPr/>
          <w:p>
            <w:pPr>
              <w:pStyle w:val="Compact"/>
            </w:pPr>
            <w:r>
              <w:rPr>
                <w:b/>
                <w:bCs/>
              </w:rPr>
              <w:t xml:space="preserve">Controls and communication</w:t>
            </w:r>
          </w:p>
        </w:tc>
        <w:tc>
          <w:tcPr/>
          <w:p>
            <w:pPr>
              <w:pStyle w:val="Compact"/>
            </w:pPr>
            <w:r>
              <w:t xml:space="preserve">Barrier plan, entry points, banksman/slinger positions, radio channel, emergency stop signal and route marshal.</w:t>
            </w:r>
          </w:p>
        </w:tc>
        <w:tc>
          <w:tcPr/>
          <w:p>
            <w:pPr>
              <w:pStyle w:val="Compact"/>
            </w:pPr>
            <w:r>
              <w:t xml:space="preserve">Zone can be controlled throughout the lift; no blind area or unauthorised access point remains.</w:t>
            </w:r>
          </w:p>
        </w:tc>
      </w:tr>
    </w:tbl>
    <w:bookmarkEnd w:id="21"/>
    <w:bookmarkStart w:id="22" w:name="audit-frequency"/>
    <w:p>
      <w:pPr>
        <w:pStyle w:val="Heading3"/>
      </w:pPr>
      <w:r>
        <w:t xml:space="preserve">4.3 Audit frequency</w:t>
      </w:r>
    </w:p>
    <w:tbl>
      <w:tblPr>
        <w:tblStyle w:val="Table"/>
        <w:tblW w:type="pct" w:w="5000"/>
        <w:tblLayout w:type="fixed"/>
        <w:tblLook w:firstRow="1" w:lastRow="0" w:firstColumn="0" w:lastColumn="0" w:noHBand="0" w:noVBand="0" w:val="0020"/>
      </w:tblPr>
      <w:tblGrid>
        <w:gridCol w:w="2376"/>
        <w:gridCol w:w="3168"/>
        <w:gridCol w:w="2376"/>
      </w:tblGrid>
      <w:tr>
        <w:trPr>
          <w:tblHeader w:val="on"/>
        </w:trPr>
        <w:tc>
          <w:tcPr/>
          <w:p>
            <w:pPr>
              <w:pStyle w:val="Compact"/>
            </w:pPr>
            <w:r>
              <w:t xml:space="preserve">Inspection point</w:t>
            </w:r>
          </w:p>
        </w:tc>
        <w:tc>
          <w:tcPr/>
          <w:p>
            <w:pPr>
              <w:pStyle w:val="Compact"/>
              <w:jc w:val="right"/>
            </w:pPr>
            <w:r>
              <w:t xml:space="preserve">Frequency</w:t>
            </w:r>
          </w:p>
        </w:tc>
        <w:tc>
          <w:tcPr/>
          <w:p>
            <w:pPr>
              <w:pStyle w:val="Compact"/>
            </w:pPr>
            <w:r>
              <w:t xml:space="preserve">Required sign-off</w:t>
            </w:r>
          </w:p>
        </w:tc>
      </w:tr>
      <w:tr>
        <w:tc>
          <w:tcPr/>
          <w:p>
            <w:pPr>
              <w:pStyle w:val="Compact"/>
            </w:pPr>
            <w:r>
              <w:rPr>
                <w:b/>
                <w:bCs/>
              </w:rPr>
              <w:t xml:space="preserve">Shift-start workface audit</w:t>
            </w:r>
          </w:p>
        </w:tc>
        <w:tc>
          <w:tcPr/>
          <w:p>
            <w:pPr>
              <w:pStyle w:val="Compact"/>
              <w:jc w:val="right"/>
            </w:pPr>
            <w:r>
              <w:t xml:space="preserve">Every shift before any lifting/concreting/formwork SIMOPS begins</w:t>
            </w:r>
          </w:p>
        </w:tc>
        <w:tc>
          <w:tcPr/>
          <w:p>
            <w:pPr>
              <w:pStyle w:val="Compact"/>
            </w:pPr>
            <w:r>
              <w:t xml:space="preserve">Lifting Supervisor + Formwork Supervisor + SIMOPS Coordinator.</w:t>
            </w:r>
          </w:p>
        </w:tc>
      </w:tr>
      <w:tr>
        <w:tc>
          <w:tcPr/>
          <w:p>
            <w:pPr>
              <w:pStyle w:val="Compact"/>
            </w:pPr>
            <w:r>
              <w:rPr>
                <w:b/>
                <w:bCs/>
              </w:rPr>
              <w:t xml:space="preserve">Pre-lift exclusion-zone audit</w:t>
            </w:r>
          </w:p>
        </w:tc>
        <w:tc>
          <w:tcPr/>
          <w:p>
            <w:pPr>
              <w:pStyle w:val="Compact"/>
              <w:jc w:val="right"/>
            </w:pPr>
            <w:r>
              <w:t xml:space="preserve">Before the first lift of each lift family and before every non-routine/critical lift</w:t>
            </w:r>
          </w:p>
        </w:tc>
        <w:tc>
          <w:tcPr/>
          <w:p>
            <w:pPr>
              <w:pStyle w:val="Compact"/>
            </w:pPr>
            <w:r>
              <w:t xml:space="preserve">Appointed Person / Lifting Supervisor; banksman confirms physical boundary.</w:t>
            </w:r>
          </w:p>
        </w:tc>
      </w:tr>
      <w:tr>
        <w:tc>
          <w:tcPr/>
          <w:p>
            <w:pPr>
              <w:pStyle w:val="Compact"/>
            </w:pPr>
            <w:r>
              <w:rPr>
                <w:b/>
                <w:bCs/>
              </w:rPr>
              <w:t xml:space="preserve">Change-trigger audit</w:t>
            </w:r>
          </w:p>
        </w:tc>
        <w:tc>
          <w:tcPr/>
          <w:p>
            <w:pPr>
              <w:pStyle w:val="Compact"/>
              <w:jc w:val="right"/>
            </w:pPr>
            <w:r>
              <w:t xml:space="preserve">Immediately after crane relocation, radius/load/route change, barrier movement, weather deterioration, water event, monitoring trigger, formwork change, pump-line relocation or incident/near miss</w:t>
            </w:r>
          </w:p>
        </w:tc>
        <w:tc>
          <w:tcPr/>
          <w:p>
            <w:pPr>
              <w:pStyle w:val="Compact"/>
            </w:pPr>
            <w:r>
              <w:t xml:space="preserve">Relevant technical owner plus SIMOPS Coordinator.</w:t>
            </w:r>
          </w:p>
        </w:tc>
      </w:tr>
      <w:tr>
        <w:tc>
          <w:tcPr/>
          <w:p>
            <w:pPr>
              <w:pStyle w:val="Compact"/>
            </w:pPr>
            <w:r>
              <w:rPr>
                <w:b/>
                <w:bCs/>
              </w:rPr>
              <w:t xml:space="preserve">Active-lift observation</w:t>
            </w:r>
          </w:p>
        </w:tc>
        <w:tc>
          <w:tcPr/>
          <w:p>
            <w:pPr>
              <w:pStyle w:val="Compact"/>
              <w:jc w:val="right"/>
            </w:pPr>
            <w:r>
              <w:t xml:space="preserve">Continuous during lifting</w:t>
            </w:r>
          </w:p>
        </w:tc>
        <w:tc>
          <w:tcPr/>
          <w:p>
            <w:pPr>
              <w:pStyle w:val="Compact"/>
            </w:pPr>
            <w:r>
              <w:t xml:space="preserve">Banksman/slinger and Lifting Supervisor.</w:t>
            </w:r>
          </w:p>
        </w:tc>
      </w:tr>
      <w:tr>
        <w:tc>
          <w:tcPr/>
          <w:p>
            <w:pPr>
              <w:pStyle w:val="Compact"/>
            </w:pPr>
            <w:r>
              <w:rPr>
                <w:b/>
                <w:bCs/>
              </w:rPr>
              <w:t xml:space="preserve">Independent assurance sample</w:t>
            </w:r>
          </w:p>
        </w:tc>
        <w:tc>
          <w:tcPr/>
          <w:p>
            <w:pPr>
              <w:pStyle w:val="Compact"/>
              <w:jc w:val="right"/>
            </w:pPr>
            <w:r>
              <w:t xml:space="preserve">Daily for high-risk SIMOPS, and at least weekly for repetitive routine operations unless project rules are stricter</w:t>
            </w:r>
          </w:p>
        </w:tc>
        <w:tc>
          <w:tcPr/>
          <w:p>
            <w:pPr>
              <w:pStyle w:val="Compact"/>
            </w:pPr>
            <w:r>
              <w:t xml:space="preserve">HSE Manager / temporary-works or consultant representative.</w:t>
            </w:r>
          </w:p>
        </w:tc>
      </w:tr>
    </w:tbl>
    <w:bookmarkEnd w:id="22"/>
    <w:bookmarkStart w:id="23" w:name="field-inspection-checklist"/>
    <w:p>
      <w:pPr>
        <w:pStyle w:val="Heading3"/>
      </w:pPr>
      <w:r>
        <w:t xml:space="preserve">4.4 Field inspection checklist</w:t>
      </w:r>
    </w:p>
    <w:tbl>
      <w:tblPr>
        <w:tblStyle w:val="Table"/>
        <w:tblW w:type="pct" w:w="5000"/>
        <w:tblLayout w:type="fixed"/>
        <w:tblLook w:firstRow="1" w:lastRow="0" w:firstColumn="0" w:lastColumn="0" w:noHBand="0" w:noVBand="0" w:val="0020"/>
      </w:tblPr>
      <w:tblGrid>
        <w:gridCol w:w="1980"/>
        <w:gridCol w:w="1485"/>
        <w:gridCol w:w="1485"/>
        <w:gridCol w:w="1485"/>
        <w:gridCol w:w="1485"/>
      </w:tblGrid>
      <w:tr>
        <w:trPr>
          <w:tblHeader w:val="on"/>
        </w:trPr>
        <w:tc>
          <w:tcPr/>
          <w:p>
            <w:pPr>
              <w:pStyle w:val="Compact"/>
              <w:jc w:val="right"/>
            </w:pPr>
            <w:r>
              <w:t xml:space="preserve">Ref.</w:t>
            </w:r>
          </w:p>
        </w:tc>
        <w:tc>
          <w:tcPr/>
          <w:p>
            <w:pPr>
              <w:pStyle w:val="Compact"/>
            </w:pPr>
            <w:r>
              <w:t xml:space="preserve">Audit question</w:t>
            </w:r>
          </w:p>
        </w:tc>
        <w:tc>
          <w:tcPr/>
          <w:p>
            <w:pPr>
              <w:pStyle w:val="Compact"/>
            </w:pPr>
            <w:r>
              <w:t xml:space="preserve">Evidence / acceptance test</w:t>
            </w:r>
          </w:p>
        </w:tc>
        <w:tc>
          <w:tcPr/>
          <w:p>
            <w:pPr>
              <w:pStyle w:val="Compact"/>
            </w:pPr>
            <w:r>
              <w:t xml:space="preserve">Status: Green / Amber / Red</w:t>
            </w:r>
          </w:p>
        </w:tc>
        <w:tc>
          <w:tcPr/>
          <w:p>
            <w:pPr>
              <w:pStyle w:val="Compact"/>
            </w:pPr>
            <w:r>
              <w:t xml:space="preserve">Auditor action if not Green</w:t>
            </w:r>
          </w:p>
        </w:tc>
      </w:tr>
      <w:tr>
        <w:tc>
          <w:tcPr/>
          <w:p>
            <w:pPr>
              <w:pStyle w:val="Compact"/>
              <w:jc w:val="right"/>
            </w:pPr>
            <w:r>
              <w:t xml:space="preserve">A01</w:t>
            </w:r>
          </w:p>
        </w:tc>
        <w:tc>
          <w:tcPr/>
          <w:p>
            <w:pPr>
              <w:pStyle w:val="Compact"/>
            </w:pPr>
            <w:r>
              <w:t xml:space="preserve">Is the current lift plan available at the workface and matched to crane, load, radius and route?</w:t>
            </w:r>
          </w:p>
        </w:tc>
        <w:tc>
          <w:tcPr/>
          <w:p>
            <w:pPr>
              <w:pStyle w:val="Compact"/>
            </w:pPr>
            <w:r>
              <w:t xml:space="preserve">IDs, revision and duty/shift validity checked.</w:t>
            </w:r>
          </w:p>
        </w:tc>
        <w:tc>
          <w:tcPr/>
          <w:p>
            <w:pPr>
              <w:pStyle w:val="Compact"/>
            </w:pPr>
          </w:p>
        </w:tc>
        <w:tc>
          <w:tcPr/>
          <w:p>
            <w:pPr>
              <w:pStyle w:val="Compact"/>
            </w:pPr>
            <w:r>
              <w:t xml:space="preserve">Red: no lift.</w:t>
            </w:r>
          </w:p>
        </w:tc>
      </w:tr>
      <w:tr>
        <w:tc>
          <w:tcPr/>
          <w:p>
            <w:pPr>
              <w:pStyle w:val="Compact"/>
              <w:jc w:val="right"/>
            </w:pPr>
            <w:r>
              <w:t xml:space="preserve">A02</w:t>
            </w:r>
          </w:p>
        </w:tc>
        <w:tc>
          <w:tcPr/>
          <w:p>
            <w:pPr>
              <w:pStyle w:val="Compact"/>
            </w:pPr>
            <w:r>
              <w:t xml:space="preserve">Has the load mass and rigging arrangement been verified?</w:t>
            </w:r>
          </w:p>
        </w:tc>
        <w:tc>
          <w:tcPr/>
          <w:p>
            <w:pPr>
              <w:pStyle w:val="Compact"/>
            </w:pPr>
            <w:r>
              <w:t xml:space="preserve">Verified load source, rigging certificate and slinger pre-use check.</w:t>
            </w:r>
          </w:p>
        </w:tc>
        <w:tc>
          <w:tcPr/>
          <w:p>
            <w:pPr>
              <w:pStyle w:val="Compact"/>
            </w:pPr>
          </w:p>
        </w:tc>
        <w:tc>
          <w:tcPr/>
          <w:p>
            <w:pPr>
              <w:pStyle w:val="Compact"/>
            </w:pPr>
            <w:r>
              <w:t xml:space="preserve">Red: stop and replan.</w:t>
            </w:r>
          </w:p>
        </w:tc>
      </w:tr>
      <w:tr>
        <w:tc>
          <w:tcPr/>
          <w:p>
            <w:pPr>
              <w:pStyle w:val="Compact"/>
              <w:jc w:val="right"/>
            </w:pPr>
            <w:r>
              <w:t xml:space="preserve">A03</w:t>
            </w:r>
          </w:p>
        </w:tc>
        <w:tc>
          <w:tcPr/>
          <w:p>
            <w:pPr>
              <w:pStyle w:val="Compact"/>
            </w:pPr>
            <w:r>
              <w:t xml:space="preserve">Is the lift/fall envelope marked from the approved plan—not guessed in the field?</w:t>
            </w:r>
          </w:p>
        </w:tc>
        <w:tc>
          <w:tcPr/>
          <w:p>
            <w:pPr>
              <w:pStyle w:val="Compact"/>
            </w:pPr>
            <w:r>
              <w:t xml:space="preserve">Dimensioned zone drawing / marked boundary present.</w:t>
            </w:r>
          </w:p>
        </w:tc>
        <w:tc>
          <w:tcPr/>
          <w:p>
            <w:pPr>
              <w:pStyle w:val="Compact"/>
            </w:pPr>
          </w:p>
        </w:tc>
        <w:tc>
          <w:tcPr/>
          <w:p>
            <w:pPr>
              <w:pStyle w:val="Compact"/>
            </w:pPr>
            <w:r>
              <w:t xml:space="preserve">Red: establish approved zone.</w:t>
            </w:r>
          </w:p>
        </w:tc>
      </w:tr>
      <w:tr>
        <w:tc>
          <w:tcPr/>
          <w:p>
            <w:pPr>
              <w:pStyle w:val="Compact"/>
              <w:jc w:val="right"/>
            </w:pPr>
            <w:r>
              <w:t xml:space="preserve">A04</w:t>
            </w:r>
          </w:p>
        </w:tc>
        <w:tc>
          <w:tcPr/>
          <w:p>
            <w:pPr>
              <w:pStyle w:val="Compact"/>
            </w:pPr>
            <w:r>
              <w:t xml:space="preserve">Are all formwork/rebar/concrete crews and access routes outside the exclusion envelope before the lift starts?</w:t>
            </w:r>
          </w:p>
        </w:tc>
        <w:tc>
          <w:tcPr/>
          <w:p>
            <w:pPr>
              <w:pStyle w:val="Compact"/>
            </w:pPr>
            <w:r>
              <w:t xml:space="preserve">Workfront and route walkdown; no person below or adjacent to envelope.</w:t>
            </w:r>
          </w:p>
        </w:tc>
        <w:tc>
          <w:tcPr/>
          <w:p>
            <w:pPr>
              <w:pStyle w:val="Compact"/>
            </w:pPr>
          </w:p>
        </w:tc>
        <w:tc>
          <w:tcPr/>
          <w:p>
            <w:pPr>
              <w:pStyle w:val="Compact"/>
            </w:pPr>
            <w:r>
              <w:t xml:space="preserve">Red: clear and physically hold area.</w:t>
            </w:r>
          </w:p>
        </w:tc>
      </w:tr>
      <w:tr>
        <w:tc>
          <w:tcPr/>
          <w:p>
            <w:pPr>
              <w:pStyle w:val="Compact"/>
              <w:jc w:val="right"/>
            </w:pPr>
            <w:r>
              <w:t xml:space="preserve">A05</w:t>
            </w:r>
          </w:p>
        </w:tc>
        <w:tc>
          <w:tcPr/>
          <w:p>
            <w:pPr>
              <w:pStyle w:val="Compact"/>
            </w:pPr>
            <w:r>
              <w:t xml:space="preserve">Are barriers continuous, visible, robust for the workface and controlled at all entry points?</w:t>
            </w:r>
          </w:p>
        </w:tc>
        <w:tc>
          <w:tcPr/>
          <w:p>
            <w:pPr>
              <w:pStyle w:val="Compact"/>
            </w:pPr>
            <w:r>
              <w:t xml:space="preserve">Hard barricade or approved equivalent; signs facing approach routes; named gate control.</w:t>
            </w:r>
          </w:p>
        </w:tc>
        <w:tc>
          <w:tcPr/>
          <w:p>
            <w:pPr>
              <w:pStyle w:val="Compact"/>
            </w:pPr>
          </w:p>
        </w:tc>
        <w:tc>
          <w:tcPr/>
          <w:p>
            <w:pPr>
              <w:pStyle w:val="Compact"/>
            </w:pPr>
            <w:r>
              <w:t xml:space="preserve">Amber/Red: repair before lifting.</w:t>
            </w:r>
          </w:p>
        </w:tc>
      </w:tr>
      <w:tr>
        <w:tc>
          <w:tcPr/>
          <w:p>
            <w:pPr>
              <w:pStyle w:val="Compact"/>
              <w:jc w:val="right"/>
            </w:pPr>
            <w:r>
              <w:t xml:space="preserve">A06</w:t>
            </w:r>
          </w:p>
        </w:tc>
        <w:tc>
          <w:tcPr/>
          <w:p>
            <w:pPr>
              <w:pStyle w:val="Compact"/>
            </w:pPr>
            <w:r>
              <w:t xml:space="preserve">Is there a route marshal to protect the evacuation route and prevent people entering the lift or hose zone?</w:t>
            </w:r>
          </w:p>
        </w:tc>
        <w:tc>
          <w:tcPr/>
          <w:p>
            <w:pPr>
              <w:pStyle w:val="Compact"/>
            </w:pPr>
            <w:r>
              <w:t xml:space="preserve">Named person, radio contact and clear route.</w:t>
            </w:r>
          </w:p>
        </w:tc>
        <w:tc>
          <w:tcPr/>
          <w:p>
            <w:pPr>
              <w:pStyle w:val="Compact"/>
            </w:pPr>
          </w:p>
        </w:tc>
        <w:tc>
          <w:tcPr/>
          <w:p>
            <w:pPr>
              <w:pStyle w:val="Compact"/>
            </w:pPr>
            <w:r>
              <w:t xml:space="preserve">Red: no concurrent SIMOPS.</w:t>
            </w:r>
          </w:p>
        </w:tc>
      </w:tr>
      <w:tr>
        <w:tc>
          <w:tcPr/>
          <w:p>
            <w:pPr>
              <w:pStyle w:val="Compact"/>
              <w:jc w:val="right"/>
            </w:pPr>
            <w:r>
              <w:t xml:space="preserve">A07</w:t>
            </w:r>
          </w:p>
        </w:tc>
        <w:tc>
          <w:tcPr/>
          <w:p>
            <w:pPr>
              <w:pStyle w:val="Compact"/>
            </w:pPr>
            <w:r>
              <w:t xml:space="preserve">Are crane position, bearing, set-back and excavation/shoring surcharge limits accepted for the current configuration?</w:t>
            </w:r>
          </w:p>
        </w:tc>
        <w:tc>
          <w:tcPr/>
          <w:p>
            <w:pPr>
              <w:pStyle w:val="Compact"/>
            </w:pPr>
            <w:r>
              <w:t xml:space="preserve">Crane setup inspection; TWC/geotechnical constraints verified.</w:t>
            </w:r>
          </w:p>
        </w:tc>
        <w:tc>
          <w:tcPr/>
          <w:p>
            <w:pPr>
              <w:pStyle w:val="Compact"/>
            </w:pPr>
          </w:p>
        </w:tc>
        <w:tc>
          <w:tcPr/>
          <w:p>
            <w:pPr>
              <w:pStyle w:val="Compact"/>
            </w:pPr>
            <w:r>
              <w:t xml:space="preserve">Red: relocate or obtain technical release.</w:t>
            </w:r>
          </w:p>
        </w:tc>
      </w:tr>
      <w:tr>
        <w:tc>
          <w:tcPr/>
          <w:p>
            <w:pPr>
              <w:pStyle w:val="Compact"/>
              <w:jc w:val="right"/>
            </w:pPr>
            <w:r>
              <w:t xml:space="preserve">A08</w:t>
            </w:r>
          </w:p>
        </w:tc>
        <w:tc>
          <w:tcPr/>
          <w:p>
            <w:pPr>
              <w:pStyle w:val="Compact"/>
            </w:pPr>
            <w:r>
              <w:t xml:space="preserve">Is the formwork/falsework floor released for occupation and the intended landing/storage load?</w:t>
            </w:r>
          </w:p>
        </w:tc>
        <w:tc>
          <w:tcPr/>
          <w:p>
            <w:pPr>
              <w:pStyle w:val="Compact"/>
            </w:pPr>
            <w:r>
              <w:t xml:space="preserve">Formwork inspection, permit-to-load and capacity check.</w:t>
            </w:r>
          </w:p>
        </w:tc>
        <w:tc>
          <w:tcPr/>
          <w:p>
            <w:pPr>
              <w:pStyle w:val="Compact"/>
            </w:pPr>
          </w:p>
        </w:tc>
        <w:tc>
          <w:tcPr/>
          <w:p>
            <w:pPr>
              <w:pStyle w:val="Compact"/>
            </w:pPr>
            <w:r>
              <w:t xml:space="preserve">Red: do not land/load.</w:t>
            </w:r>
          </w:p>
        </w:tc>
      </w:tr>
      <w:tr>
        <w:tc>
          <w:tcPr/>
          <w:p>
            <w:pPr>
              <w:pStyle w:val="Compact"/>
              <w:jc w:val="right"/>
            </w:pPr>
            <w:r>
              <w:t xml:space="preserve">A09</w:t>
            </w:r>
          </w:p>
        </w:tc>
        <w:tc>
          <w:tcPr/>
          <w:p>
            <w:pPr>
              <w:pStyle w:val="Compact"/>
            </w:pPr>
            <w:r>
              <w:t xml:space="preserve">Is the planned lift path clear of pump hoses, temporary power, dewatering lines, rebar projections and emergency access?</w:t>
            </w:r>
          </w:p>
        </w:tc>
        <w:tc>
          <w:tcPr/>
          <w:p>
            <w:pPr>
              <w:pStyle w:val="Compact"/>
            </w:pPr>
            <w:r>
              <w:t xml:space="preserve">Joint lift/formwork/concrete route walkdown.</w:t>
            </w:r>
          </w:p>
        </w:tc>
        <w:tc>
          <w:tcPr/>
          <w:p>
            <w:pPr>
              <w:pStyle w:val="Compact"/>
            </w:pPr>
          </w:p>
        </w:tc>
        <w:tc>
          <w:tcPr/>
          <w:p>
            <w:pPr>
              <w:pStyle w:val="Compact"/>
            </w:pPr>
            <w:r>
              <w:t xml:space="preserve">Amber: correct then re-check; Red if route blocked.</w:t>
            </w:r>
          </w:p>
        </w:tc>
      </w:tr>
      <w:tr>
        <w:tc>
          <w:tcPr/>
          <w:p>
            <w:pPr>
              <w:pStyle w:val="Compact"/>
              <w:jc w:val="right"/>
            </w:pPr>
            <w:r>
              <w:t xml:space="preserve">A10</w:t>
            </w:r>
          </w:p>
        </w:tc>
        <w:tc>
          <w:tcPr/>
          <w:p>
            <w:pPr>
              <w:pStyle w:val="Compact"/>
            </w:pPr>
            <w:r>
              <w:t xml:space="preserve">Are banksman, slinger, crane operator and formwork supervisor on a tested communication channel and using agreed signals?</w:t>
            </w:r>
          </w:p>
        </w:tc>
        <w:tc>
          <w:tcPr/>
          <w:p>
            <w:pPr>
              <w:pStyle w:val="Compact"/>
            </w:pPr>
            <w:r>
              <w:t xml:space="preserve">Radio/function test; emergency stop signal confirmed.</w:t>
            </w:r>
          </w:p>
        </w:tc>
        <w:tc>
          <w:tcPr/>
          <w:p>
            <w:pPr>
              <w:pStyle w:val="Compact"/>
            </w:pPr>
          </w:p>
        </w:tc>
        <w:tc>
          <w:tcPr/>
          <w:p>
            <w:pPr>
              <w:pStyle w:val="Compact"/>
            </w:pPr>
            <w:r>
              <w:t xml:space="preserve">Red: no lift.</w:t>
            </w:r>
          </w:p>
        </w:tc>
      </w:tr>
      <w:tr>
        <w:tc>
          <w:tcPr/>
          <w:p>
            <w:pPr>
              <w:pStyle w:val="Compact"/>
              <w:jc w:val="right"/>
            </w:pPr>
            <w:r>
              <w:t xml:space="preserve">A11</w:t>
            </w:r>
          </w:p>
        </w:tc>
        <w:tc>
          <w:tcPr/>
          <w:p>
            <w:pPr>
              <w:pStyle w:val="Compact"/>
            </w:pPr>
            <w:r>
              <w:t xml:space="preserve">Is wind/visibility within the crane manufacturer, lift-plan and project limits?</w:t>
            </w:r>
          </w:p>
        </w:tc>
        <w:tc>
          <w:tcPr/>
          <w:p>
            <w:pPr>
              <w:pStyle w:val="Compact"/>
            </w:pPr>
            <w:r>
              <w:t xml:space="preserve">Shift weather and visibility check.</w:t>
            </w:r>
          </w:p>
        </w:tc>
        <w:tc>
          <w:tcPr/>
          <w:p>
            <w:pPr>
              <w:pStyle w:val="Compact"/>
            </w:pPr>
          </w:p>
        </w:tc>
        <w:tc>
          <w:tcPr/>
          <w:p>
            <w:pPr>
              <w:pStyle w:val="Compact"/>
            </w:pPr>
            <w:r>
              <w:t xml:space="preserve">Red: suspend.</w:t>
            </w:r>
          </w:p>
        </w:tc>
      </w:tr>
      <w:tr>
        <w:tc>
          <w:tcPr/>
          <w:p>
            <w:pPr>
              <w:pStyle w:val="Compact"/>
              <w:jc w:val="right"/>
            </w:pPr>
            <w:r>
              <w:t xml:space="preserve">A12</w:t>
            </w:r>
          </w:p>
        </w:tc>
        <w:tc>
          <w:tcPr/>
          <w:p>
            <w:pPr>
              <w:pStyle w:val="Compact"/>
            </w:pPr>
            <w:r>
              <w:t xml:space="preserve">Is load control adequate: taglines where approved, no uncontrolled rotation, no hands in pinch points and no personnel under the load?</w:t>
            </w:r>
          </w:p>
        </w:tc>
        <w:tc>
          <w:tcPr/>
          <w:p>
            <w:pPr>
              <w:pStyle w:val="Compact"/>
            </w:pPr>
            <w:r>
              <w:t xml:space="preserve">Lift observation.</w:t>
            </w:r>
          </w:p>
        </w:tc>
        <w:tc>
          <w:tcPr/>
          <w:p>
            <w:pPr>
              <w:pStyle w:val="Compact"/>
            </w:pPr>
          </w:p>
        </w:tc>
        <w:tc>
          <w:tcPr/>
          <w:p>
            <w:pPr>
              <w:pStyle w:val="Compact"/>
            </w:pPr>
            <w:r>
              <w:t xml:space="preserve">Red: all stop, correct practice.</w:t>
            </w:r>
          </w:p>
        </w:tc>
      </w:tr>
      <w:tr>
        <w:tc>
          <w:tcPr/>
          <w:p>
            <w:pPr>
              <w:pStyle w:val="Compact"/>
              <w:jc w:val="right"/>
            </w:pPr>
            <w:r>
              <w:t xml:space="preserve">A13</w:t>
            </w:r>
          </w:p>
        </w:tc>
        <w:tc>
          <w:tcPr/>
          <w:p>
            <w:pPr>
              <w:pStyle w:val="Compact"/>
            </w:pPr>
            <w:r>
              <w:t xml:space="preserve">Is the protected evacuation route outside the lift/fall zone and free of materials/plant?</w:t>
            </w:r>
          </w:p>
        </w:tc>
        <w:tc>
          <w:tcPr/>
          <w:p>
            <w:pPr>
              <w:pStyle w:val="Compact"/>
            </w:pPr>
            <w:r>
              <w:t xml:space="preserve">Route inspected and signed by HSE/rescue lead.</w:t>
            </w:r>
          </w:p>
        </w:tc>
        <w:tc>
          <w:tcPr/>
          <w:p>
            <w:pPr>
              <w:pStyle w:val="Compact"/>
            </w:pPr>
          </w:p>
        </w:tc>
        <w:tc>
          <w:tcPr/>
          <w:p>
            <w:pPr>
              <w:pStyle w:val="Compact"/>
            </w:pPr>
            <w:r>
              <w:t xml:space="preserve">Red: release route before work.</w:t>
            </w:r>
          </w:p>
        </w:tc>
      </w:tr>
      <w:tr>
        <w:tc>
          <w:tcPr/>
          <w:p>
            <w:pPr>
              <w:pStyle w:val="Compact"/>
              <w:jc w:val="right"/>
            </w:pPr>
            <w:r>
              <w:t xml:space="preserve">A14</w:t>
            </w:r>
          </w:p>
        </w:tc>
        <w:tc>
          <w:tcPr/>
          <w:p>
            <w:pPr>
              <w:pStyle w:val="Compact"/>
            </w:pPr>
            <w:r>
              <w:t xml:space="preserve">Do excavation monitoring, shoring inspection and dewatering status permit the current crane/formwork configuration?</w:t>
            </w:r>
          </w:p>
        </w:tc>
        <w:tc>
          <w:tcPr/>
          <w:p>
            <w:pPr>
              <w:pStyle w:val="Compact"/>
            </w:pPr>
            <w:r>
              <w:t xml:space="preserve">Current monitoring/pump/visual inspection record.</w:t>
            </w:r>
          </w:p>
        </w:tc>
        <w:tc>
          <w:tcPr/>
          <w:p>
            <w:pPr>
              <w:pStyle w:val="Compact"/>
            </w:pPr>
          </w:p>
        </w:tc>
        <w:tc>
          <w:tcPr/>
          <w:p>
            <w:pPr>
              <w:pStyle w:val="Compact"/>
            </w:pPr>
            <w:r>
              <w:t xml:space="preserve">Red: PTW suspended pending technical review.</w:t>
            </w:r>
          </w:p>
        </w:tc>
      </w:tr>
      <w:tr>
        <w:tc>
          <w:tcPr/>
          <w:p>
            <w:pPr>
              <w:pStyle w:val="Compact"/>
              <w:jc w:val="right"/>
            </w:pPr>
            <w:r>
              <w:t xml:space="preserve">A15</w:t>
            </w:r>
          </w:p>
        </w:tc>
        <w:tc>
          <w:tcPr/>
          <w:p>
            <w:pPr>
              <w:pStyle w:val="Compact"/>
            </w:pPr>
            <w:r>
              <w:t xml:space="preserve">Has a change or near miss triggered formal review of the lift/SIMOPS plan?</w:t>
            </w:r>
          </w:p>
        </w:tc>
        <w:tc>
          <w:tcPr/>
          <w:p>
            <w:pPr>
              <w:pStyle w:val="Compact"/>
            </w:pPr>
            <w:r>
              <w:t xml:space="preserve">Documented management-of-change record.</w:t>
            </w:r>
          </w:p>
        </w:tc>
        <w:tc>
          <w:tcPr/>
          <w:p>
            <w:pPr>
              <w:pStyle w:val="Compact"/>
            </w:pPr>
          </w:p>
        </w:tc>
        <w:tc>
          <w:tcPr/>
          <w:p>
            <w:pPr>
              <w:pStyle w:val="Compact"/>
            </w:pPr>
            <w:r>
              <w:t xml:space="preserve">Amber/Red: stop affected work until reviewed.</w:t>
            </w:r>
          </w:p>
        </w:tc>
      </w:tr>
    </w:tbl>
    <w:bookmarkEnd w:id="23"/>
    <w:bookmarkStart w:id="24" w:name="exclusion-zone-integrity-test"/>
    <w:p>
      <w:pPr>
        <w:pStyle w:val="Heading3"/>
      </w:pPr>
      <w:r>
        <w:t xml:space="preserve">4.5 Exclusion-zone integrity test</w:t>
      </w:r>
    </w:p>
    <w:p>
      <w:pPr>
        <w:pStyle w:val="FirstParagraph"/>
      </w:pPr>
      <w:r>
        <w:t xml:space="preserve">The auditor walks the full perimeter</w:t>
      </w:r>
      <w:r>
        <w:t xml:space="preserve"> </w:t>
      </w:r>
      <w:r>
        <w:rPr>
          <w:b/>
          <w:bCs/>
        </w:rPr>
        <w:t xml:space="preserve">before each designated lift period</w:t>
      </w:r>
      <w:r>
        <w:t xml:space="preserve"> </w:t>
      </w:r>
      <w:r>
        <w:t xml:space="preserve">and records the result against the following tests.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Test</w:t>
            </w:r>
          </w:p>
        </w:tc>
        <w:tc>
          <w:tcPr/>
          <w:p>
            <w:pPr>
              <w:pStyle w:val="Compact"/>
            </w:pPr>
            <w:r>
              <w:t xml:space="preserve">Pass condition</w:t>
            </w:r>
          </w:p>
        </w:tc>
        <w:tc>
          <w:tcPr/>
          <w:p>
            <w:pPr>
              <w:pStyle w:val="Compact"/>
            </w:pPr>
            <w:r>
              <w:t xml:space="preserve">Failure response</w:t>
            </w:r>
          </w:p>
        </w:tc>
      </w:tr>
      <w:tr>
        <w:tc>
          <w:tcPr/>
          <w:p>
            <w:pPr>
              <w:pStyle w:val="Compact"/>
            </w:pPr>
            <w:r>
              <w:rPr>
                <w:b/>
                <w:bCs/>
              </w:rPr>
              <w:t xml:space="preserve">Boundary continuity</w:t>
            </w:r>
          </w:p>
        </w:tc>
        <w:tc>
          <w:tcPr/>
          <w:p>
            <w:pPr>
              <w:pStyle w:val="Compact"/>
            </w:pPr>
            <w:r>
              <w:t xml:space="preserve">No gap, removable tape-only boundary, open access or materials encroachment allows casual entry.</w:t>
            </w:r>
          </w:p>
        </w:tc>
        <w:tc>
          <w:tcPr/>
          <w:p>
            <w:pPr>
              <w:pStyle w:val="Compact"/>
            </w:pPr>
            <w:r>
              <w:t xml:space="preserve">Stop lift; repair boundary; re-walk and sign.</w:t>
            </w:r>
          </w:p>
        </w:tc>
      </w:tr>
      <w:tr>
        <w:tc>
          <w:tcPr/>
          <w:p>
            <w:pPr>
              <w:pStyle w:val="Compact"/>
            </w:pPr>
            <w:r>
              <w:rPr>
                <w:b/>
                <w:bCs/>
              </w:rPr>
              <w:t xml:space="preserve">Boundary visibility</w:t>
            </w:r>
          </w:p>
        </w:tc>
        <w:tc>
          <w:tcPr/>
          <w:p>
            <w:pPr>
              <w:pStyle w:val="Compact"/>
            </w:pPr>
            <w:r>
              <w:t xml:space="preserve">Signs and physical barrier are visible from all walking, stair, ramp and delivery approaches.</w:t>
            </w:r>
          </w:p>
        </w:tc>
        <w:tc>
          <w:tcPr/>
          <w:p>
            <w:pPr>
              <w:pStyle w:val="Compact"/>
            </w:pPr>
            <w:r>
              <w:t xml:space="preserve">Improve signage/lighting and repeat check.</w:t>
            </w:r>
          </w:p>
        </w:tc>
      </w:tr>
      <w:tr>
        <w:tc>
          <w:tcPr/>
          <w:p>
            <w:pPr>
              <w:pStyle w:val="Compact"/>
            </w:pPr>
            <w:r>
              <w:rPr>
                <w:b/>
                <w:bCs/>
              </w:rPr>
              <w:t xml:space="preserve">Access control</w:t>
            </w:r>
          </w:p>
        </w:tc>
        <w:tc>
          <w:tcPr/>
          <w:p>
            <w:pPr>
              <w:pStyle w:val="Compact"/>
            </w:pPr>
            <w:r>
              <w:t xml:space="preserve">Each entry has an identified control method: locked/guarded entry, banksman position or hard barrier.</w:t>
            </w:r>
          </w:p>
        </w:tc>
        <w:tc>
          <w:tcPr/>
          <w:p>
            <w:pPr>
              <w:pStyle w:val="Compact"/>
            </w:pPr>
            <w:r>
              <w:t xml:space="preserve">Assign control before lift starts.</w:t>
            </w:r>
          </w:p>
        </w:tc>
      </w:tr>
      <w:tr>
        <w:tc>
          <w:tcPr/>
          <w:p>
            <w:pPr>
              <w:pStyle w:val="Compact"/>
            </w:pPr>
            <w:r>
              <w:rPr>
                <w:b/>
                <w:bCs/>
              </w:rPr>
              <w:t xml:space="preserve">People clearance</w:t>
            </w:r>
          </w:p>
        </w:tc>
        <w:tc>
          <w:tcPr/>
          <w:p>
            <w:pPr>
              <w:pStyle w:val="Compact"/>
            </w:pPr>
            <w:r>
              <w:t xml:space="preserve">Formwork/rebar/concrete crew, visitors and other trades are clear before hook/load crosses the boundary.</w:t>
            </w:r>
          </w:p>
        </w:tc>
        <w:tc>
          <w:tcPr/>
          <w:p>
            <w:pPr>
              <w:pStyle w:val="Compact"/>
            </w:pPr>
            <w:r>
              <w:t xml:space="preserve">Clear people; confirm by radio and visual count.</w:t>
            </w:r>
          </w:p>
        </w:tc>
      </w:tr>
      <w:tr>
        <w:tc>
          <w:tcPr/>
          <w:p>
            <w:pPr>
              <w:pStyle w:val="Compact"/>
            </w:pPr>
            <w:r>
              <w:rPr>
                <w:b/>
                <w:bCs/>
              </w:rPr>
              <w:t xml:space="preserve">Route protection</w:t>
            </w:r>
          </w:p>
        </w:tc>
        <w:tc>
          <w:tcPr/>
          <w:p>
            <w:pPr>
              <w:pStyle w:val="Compact"/>
            </w:pPr>
            <w:r>
              <w:t xml:space="preserve">Emergency evacuation route remains outside the lift zone and is not used for load travel or temporary laydown.</w:t>
            </w:r>
          </w:p>
        </w:tc>
        <w:tc>
          <w:tcPr/>
          <w:p>
            <w:pPr>
              <w:pStyle w:val="Compact"/>
            </w:pPr>
            <w:r>
              <w:t xml:space="preserve">Suspend lift or redesign route.</w:t>
            </w:r>
          </w:p>
        </w:tc>
      </w:tr>
      <w:tr>
        <w:tc>
          <w:tcPr/>
          <w:p>
            <w:pPr>
              <w:pStyle w:val="Compact"/>
            </w:pPr>
            <w:r>
              <w:rPr>
                <w:b/>
                <w:bCs/>
              </w:rPr>
              <w:t xml:space="preserve">Barrier stability</w:t>
            </w:r>
          </w:p>
        </w:tc>
        <w:tc>
          <w:tcPr/>
          <w:p>
            <w:pPr>
              <w:pStyle w:val="Compact"/>
            </w:pPr>
            <w:r>
              <w:t xml:space="preserve">Barrier will not be moved by concrete hose, truck movement, wind, vibration, housekeeping or material handling.</w:t>
            </w:r>
          </w:p>
        </w:tc>
        <w:tc>
          <w:tcPr/>
          <w:p>
            <w:pPr>
              <w:pStyle w:val="Compact"/>
            </w:pPr>
            <w:r>
              <w:t xml:space="preserve">Reinstate/relocate with physical protection.</w:t>
            </w:r>
          </w:p>
        </w:tc>
      </w:tr>
      <w:tr>
        <w:tc>
          <w:tcPr/>
          <w:p>
            <w:pPr>
              <w:pStyle w:val="Compact"/>
            </w:pPr>
            <w:r>
              <w:rPr>
                <w:b/>
                <w:bCs/>
              </w:rPr>
              <w:t xml:space="preserve">Restart discipline</w:t>
            </w:r>
          </w:p>
        </w:tc>
        <w:tc>
          <w:tcPr/>
          <w:p>
            <w:pPr>
              <w:pStyle w:val="Compact"/>
            </w:pPr>
            <w:r>
              <w:t xml:space="preserve">Any breach, entry or near miss stops the lift and triggers supervisor re-briefing before restart.</w:t>
            </w:r>
          </w:p>
        </w:tc>
        <w:tc>
          <w:tcPr/>
          <w:p>
            <w:pPr>
              <w:pStyle w:val="Compact"/>
            </w:pPr>
            <w:r>
              <w:t xml:space="preserve">Record event; review plan and release again.</w:t>
            </w:r>
          </w:p>
        </w:tc>
      </w:tr>
    </w:tbl>
    <w:bookmarkEnd w:id="24"/>
    <w:bookmarkStart w:id="25" w:name="stop-work-escalation-triggers"/>
    <w:p>
      <w:pPr>
        <w:pStyle w:val="Heading3"/>
      </w:pPr>
      <w:r>
        <w:t xml:space="preserve">4.6 Stop-work / escalation triggers</w:t>
      </w:r>
    </w:p>
    <w:p>
      <w:pPr>
        <w:pStyle w:val="FirstParagraph"/>
      </w:pPr>
      <w:r>
        <w:t xml:space="preserve">The Lifting Supervisor, Formwork Supervisor, SIMOPS Coordinator or any worker must stop the affected lift immediately when any of the following occurs: a person enters the exclusion zone; barrier continuity is lost; the load route changes; the load is uncontrolled; communication fails; formwork/floor condition changes; crane setup/ground condition changes; pump/dewatering line blocks access; a monitoring, water or shoring trigger is reached; visibility/wind is outside the plan; or an emergency route is blocked.</w:t>
      </w:r>
    </w:p>
    <w:p>
      <w:pPr>
        <w:pStyle w:val="BodyText"/>
      </w:pPr>
      <w:r>
        <w:t xml:space="preserve">Restart requires a positive joint check by the Lifting Supervisor, Formwork Supervisor and SIMOPS Coordinator. If the change affects temporary works, crane bearing/set-back, excavation support, water control or structural capacity, obtain the applicable temporary-works/geotechnical/structural-engineer release before the next lift.</w:t>
      </w:r>
    </w:p>
    <w:bookmarkEnd w:id="25"/>
    <w:bookmarkEnd w:id="26"/>
    <w:bookmarkStart w:id="27" w:name="project-audit-record"/>
    <w:p>
      <w:pPr>
        <w:pStyle w:val="Heading2"/>
      </w:pPr>
      <w:r>
        <w:t xml:space="preserve">5. Project audit record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Record</w:t>
            </w:r>
          </w:p>
        </w:tc>
      </w:tr>
      <w:tr>
        <w:tc>
          <w:tcPr/>
          <w:p>
            <w:pPr>
              <w:pStyle w:val="Compact"/>
            </w:pPr>
            <w:r>
              <w:t xml:space="preserve">Project / authority / permit reference</w:t>
            </w:r>
          </w:p>
        </w:tc>
        <w:tc>
          <w:tcPr/>
          <w:p>
            <w:pPr>
              <w:pStyle w:val="Compact"/>
            </w:pPr>
          </w:p>
        </w:tc>
      </w:tr>
      <w:tr>
        <w:tc>
          <w:tcPr/>
          <w:p>
            <w:pPr>
              <w:pStyle w:val="Compact"/>
            </w:pPr>
            <w:r>
              <w:t xml:space="preserve">Date, shift, basement level, grid/workface</w:t>
            </w:r>
          </w:p>
        </w:tc>
        <w:tc>
          <w:tcPr/>
          <w:p>
            <w:pPr>
              <w:pStyle w:val="Compact"/>
            </w:pPr>
          </w:p>
        </w:tc>
      </w:tr>
      <w:tr>
        <w:tc>
          <w:tcPr/>
          <w:p>
            <w:pPr>
              <w:pStyle w:val="Compact"/>
            </w:pPr>
            <w:r>
              <w:t xml:space="preserve">Lift plan / crane ID / operator / appointed person</w:t>
            </w:r>
          </w:p>
        </w:tc>
        <w:tc>
          <w:tcPr/>
          <w:p>
            <w:pPr>
              <w:pStyle w:val="Compact"/>
            </w:pPr>
          </w:p>
        </w:tc>
      </w:tr>
      <w:tr>
        <w:tc>
          <w:tcPr/>
          <w:p>
            <w:pPr>
              <w:pStyle w:val="Compact"/>
            </w:pPr>
            <w:r>
              <w:t xml:space="preserve">Formwork release / concrete-pour release / excavation PTW</w:t>
            </w:r>
          </w:p>
        </w:tc>
        <w:tc>
          <w:tcPr/>
          <w:p>
            <w:pPr>
              <w:pStyle w:val="Compact"/>
            </w:pPr>
          </w:p>
        </w:tc>
      </w:tr>
      <w:tr>
        <w:tc>
          <w:tcPr/>
          <w:p>
            <w:pPr>
              <w:pStyle w:val="Compact"/>
            </w:pPr>
            <w:r>
              <w:t xml:space="preserve">Current dewatering and monitoring status</w:t>
            </w:r>
          </w:p>
        </w:tc>
        <w:tc>
          <w:tcPr/>
          <w:p>
            <w:pPr>
              <w:pStyle w:val="Compact"/>
            </w:pPr>
          </w:p>
        </w:tc>
      </w:tr>
      <w:tr>
        <w:tc>
          <w:tcPr/>
          <w:p>
            <w:pPr>
              <w:pStyle w:val="Compact"/>
            </w:pPr>
            <w:r>
              <w:t xml:space="preserve">Approved exclusion-envelope drawing reference</w:t>
            </w:r>
          </w:p>
        </w:tc>
        <w:tc>
          <w:tcPr/>
          <w:p>
            <w:pPr>
              <w:pStyle w:val="Compact"/>
            </w:pPr>
          </w:p>
        </w:tc>
      </w:tr>
      <w:tr>
        <w:tc>
          <w:tcPr/>
          <w:p>
            <w:pPr>
              <w:pStyle w:val="Compact"/>
            </w:pPr>
            <w:r>
              <w:t xml:space="preserve">Audit results: Green / Amber / Red / Hold</w:t>
            </w:r>
          </w:p>
        </w:tc>
        <w:tc>
          <w:tcPr/>
          <w:p>
            <w:pPr>
              <w:pStyle w:val="Compact"/>
            </w:pPr>
          </w:p>
        </w:tc>
      </w:tr>
      <w:tr>
        <w:tc>
          <w:tcPr/>
          <w:p>
            <w:pPr>
              <w:pStyle w:val="Compact"/>
            </w:pPr>
            <w:r>
              <w:t xml:space="preserve">Corrective actions and completion evidence</w:t>
            </w:r>
          </w:p>
        </w:tc>
        <w:tc>
          <w:tcPr/>
          <w:p>
            <w:pPr>
              <w:pStyle w:val="Compact"/>
            </w:pPr>
          </w:p>
        </w:tc>
      </w:tr>
      <w:tr>
        <w:tc>
          <w:tcPr/>
          <w:p>
            <w:pPr>
              <w:pStyle w:val="Compact"/>
            </w:pPr>
            <w:r>
              <w:t xml:space="preserve">Lifting Supervisor sign-off</w:t>
            </w:r>
          </w:p>
        </w:tc>
        <w:tc>
          <w:tcPr/>
          <w:p>
            <w:pPr>
              <w:pStyle w:val="Compact"/>
            </w:pPr>
          </w:p>
        </w:tc>
      </w:tr>
      <w:tr>
        <w:tc>
          <w:tcPr/>
          <w:p>
            <w:pPr>
              <w:pStyle w:val="Compact"/>
            </w:pPr>
            <w:r>
              <w:t xml:space="preserve">Formwork Supervisor sign-off</w:t>
            </w:r>
          </w:p>
        </w:tc>
        <w:tc>
          <w:tcPr/>
          <w:p>
            <w:pPr>
              <w:pStyle w:val="Compact"/>
            </w:pPr>
          </w:p>
        </w:tc>
      </w:tr>
      <w:tr>
        <w:tc>
          <w:tcPr/>
          <w:p>
            <w:pPr>
              <w:pStyle w:val="Compact"/>
            </w:pPr>
            <w:r>
              <w:t xml:space="preserve">SIMOPS Coordinator sign-off</w:t>
            </w:r>
          </w:p>
        </w:tc>
        <w:tc>
          <w:tcPr/>
          <w:p>
            <w:pPr>
              <w:pStyle w:val="Compact"/>
            </w:pPr>
          </w:p>
        </w:tc>
      </w:tr>
      <w:tr>
        <w:tc>
          <w:tcPr/>
          <w:p>
            <w:pPr>
              <w:pStyle w:val="Compact"/>
            </w:pPr>
            <w:r>
              <w:t xml:space="preserve">HSE / independent assurance sign-off</w:t>
            </w:r>
          </w:p>
        </w:tc>
        <w:tc>
          <w:tcPr/>
          <w:p>
            <w:pPr>
              <w:pStyle w:val="Compact"/>
            </w:pPr>
          </w:p>
        </w:tc>
      </w:tr>
    </w:tbl>
    <w:bookmarkEnd w:id="27"/>
    <w:bookmarkStart w:id="28" w:name="references"/>
    <w:p>
      <w:pPr>
        <w:pStyle w:val="Heading2"/>
      </w:pPr>
      <w:r>
        <w:t xml:space="preserve">References</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api.buildindubai.gov.ae/assets/User%20Guides/(English)%20Construction%20Safety%20Manual.pdf" TargetMode="External" /><Relationship Type="http://schemas.openxmlformats.org/officeDocument/2006/relationships/hyperlink" Id="rId10" Target="https://mohre.gov.ae/assets/download/6786916a/administrative-decision-no-19-of-2023-relating-to-occupational-safety-and-health-and-labour.aspx" TargetMode="External" /><Relationship Type="http://schemas.openxmlformats.org/officeDocument/2006/relationships/hyperlink" Id="rId12" Target="https://mohre.gov.ae/assets/download/960ffdc1/Ministerial%20Resolution%20No.%20657%20of%202022%20on%20Rules%20and%20Guidelines%20to%20Deal%20with%20Work%20Injuries%20and%20Occupational%20Diseases_638945724651791715.pdf.aspx" TargetMode="External" /><Relationship Type="http://schemas.openxmlformats.org/officeDocument/2006/relationships/hyperlink" Id="rId16" Target="https://www.adphc.gov.ae/-/media/Project/ADPHC/ADPHC/PDF/OSHAD-SF/Mechanisms/6----OSH-Performance--Eng.pdf" TargetMode="External" /><Relationship Type="http://schemas.openxmlformats.org/officeDocument/2006/relationships/hyperlink" Id="rId13" Target="https://www.adphc.gov.ae/-/media/Project/ADPHC/ADPHC/PDF/OSHAD-SF/Standard-Forms/Form-G.pdf" TargetMode="External" /><Relationship Type="http://schemas.openxmlformats.org/officeDocument/2006/relationships/hyperlink" Id="rId14" Target="https://www.adphc.gov.ae/-/media/Project/ADPHC/ADPHC/PDF/OSHAD-SF/Standard-Forms/Form-G1.pdf" TargetMode="External" /><Relationship Type="http://schemas.openxmlformats.org/officeDocument/2006/relationships/hyperlink" Id="rId15" Target="https://www.dmt.gov.ae/adm/-/media/Project/DMT/ADM/E-Library/Guidlines-for-developing-EHS-plan---English.pdf" TargetMode="External" /></Relationships>
</file>

<file path=word/_rels/footnotes.xml.rels><?xml version="1.0" encoding="UTF-8"?><Relationships xmlns="http://schemas.openxmlformats.org/package/2006/relationships"><Relationship Type="http://schemas.openxmlformats.org/officeDocument/2006/relationships/hyperlink" Id="rId11" Target="https://api.buildindubai.gov.ae/assets/User%20Guides/(English)%20Construction%20Safety%20Manual.pdf" TargetMode="External" /><Relationship Type="http://schemas.openxmlformats.org/officeDocument/2006/relationships/hyperlink" Id="rId10" Target="https://mohre.gov.ae/assets/download/6786916a/administrative-decision-no-19-of-2023-relating-to-occupational-safety-and-health-and-labour.aspx" TargetMode="External" /><Relationship Type="http://schemas.openxmlformats.org/officeDocument/2006/relationships/hyperlink" Id="rId12" Target="https://mohre.gov.ae/assets/download/960ffdc1/Ministerial%20Resolution%20No.%20657%20of%202022%20on%20Rules%20and%20Guidelines%20to%20Deal%20with%20Work%20Injuries%20and%20Occupational%20Diseases_638945724651791715.pdf.aspx" TargetMode="External" /><Relationship Type="http://schemas.openxmlformats.org/officeDocument/2006/relationships/hyperlink" Id="rId16" Target="https://www.adphc.gov.ae/-/media/Project/ADPHC/ADPHC/PDF/OSHAD-SF/Mechanisms/6----OSH-Performance--Eng.pdf" TargetMode="External" /><Relationship Type="http://schemas.openxmlformats.org/officeDocument/2006/relationships/hyperlink" Id="rId13" Target="https://www.adphc.gov.ae/-/media/Project/ADPHC/ADPHC/PDF/OSHAD-SF/Standard-Forms/Form-G.pdf" TargetMode="External" /><Relationship Type="http://schemas.openxmlformats.org/officeDocument/2006/relationships/hyperlink" Id="rId14" Target="https://www.adphc.gov.ae/-/media/Project/ADPHC/ADPHC/PDF/OSHAD-SF/Standard-Forms/Form-G1.pdf" TargetMode="External" /><Relationship Type="http://schemas.openxmlformats.org/officeDocument/2006/relationships/hyperlink" Id="rId15" Target="https://www.dmt.gov.ae/adm/-/media/Project/DMT/ADM/E-Library/Guidlines-for-developing-EHS-plan---Englis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2026-08-09T04:10:36Z</dcterms:created>
  <dcterms:modified xsi:type="dcterms:W3CDTF">2026-08-09T04:10:36Z</dcterms:modified>
</cp:coreProperties>
</file>

<file path=docProps/custom.xml><?xml version="1.0" encoding="utf-8"?>
<Properties xmlns="http://schemas.openxmlformats.org/officeDocument/2006/custom-properties" xmlns:vt="http://schemas.openxmlformats.org/officeDocument/2006/docPropsVTypes"/>
</file>