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53B5B"/>
          <w:sz w:val="34"/>
        </w:rPr>
        <w:t>REMOTE CAMP MEDICAL SCREENING,</w:t>
        <w:br/>
        <w:t>SHIFT-HANDOVER AND EMPLOYMENT PROTECTIONS GUIDE</w:t>
      </w:r>
    </w:p>
    <w:p>
      <w:pPr>
        <w:jc w:val="center"/>
      </w:pPr>
      <w:r>
        <w:rPr>
          <w:rFonts w:ascii="Arial" w:hAnsi="Arial"/>
          <w:i/>
          <w:sz w:val="20"/>
        </w:rPr>
        <w:t>Daily Fit-to-Work Risk Escalation for Food Handlers | UAE Working Draft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187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Document field</w:t>
            </w:r>
          </w:p>
        </w:tc>
        <w:tc>
          <w:tcPr>
            <w:tcW w:type="dxa" w:w="338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Detail</w:t>
            </w:r>
          </w:p>
        </w:tc>
        <w:tc>
          <w:tcPr>
            <w:tcW w:type="dxa" w:w="187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Document field</w:t>
            </w:r>
          </w:p>
        </w:tc>
        <w:tc>
          <w:tcPr>
            <w:tcW w:type="dxa" w:w="338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Detail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Document ID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IM-MED-SCR-004</w:t>
            </w:r>
          </w:p>
        </w:tc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Revision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00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Owner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Medical Lead / Food Safety In-Charge</w:t>
            </w:r>
          </w:p>
        </w:tc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Review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Annual and after cluster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Scope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handlers and food-support roles at remote camps</w:t>
            </w:r>
          </w:p>
        </w:tc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Approval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[Authorised signatory]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Status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Draft — clinical/HR/legal review required</w:t>
            </w:r>
          </w:p>
        </w:tc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Effective date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CE4D6"/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 xml:space="preserve">Medical and legal boundary: </w:t>
            </w:r>
            <w:r>
              <w:rPr>
                <w:rFonts w:ascii="Arial" w:hAnsi="Arial"/>
                <w:sz w:val="16"/>
              </w:rPr>
              <w:t>Daily symptom logging does not “catch” asymptomatic carriers through questions alone. It identifies reported symptoms, known restrictions/exposure and referral needs. Asymptomatic carrier detection requires an authorised clinician/Health Authority screening or diagnostic programme. Camp medical personnel must follow their licence, clinical governance and current Health Authority instructions; supervisors receive only minimum necessary operational status.</w:t>
            </w:r>
          </w:p>
        </w:tc>
      </w:tr>
    </w:tbl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1. Operating Objective and Non-Negotiable Controls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316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Objective</w:t>
            </w:r>
          </w:p>
        </w:tc>
        <w:tc>
          <w:tcPr>
            <w:tcW w:type="dxa" w:w="792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Control requirement</w:t>
            </w:r>
          </w:p>
        </w:tc>
      </w:tr>
      <w:tr>
        <w:tc>
          <w:tcPr>
            <w:tcW w:type="dxa" w:w="316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Prevent food-duty exposure</w:t>
            </w:r>
          </w:p>
        </w:tc>
        <w:tc>
          <w:tcPr>
            <w:tcW w:type="dxa" w:w="79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No person with a current restriction, referral-pending status, Health Authority direction or reported relevant concern may undertake food, ice, potable-water, clean-utensil or clean-equipment duties.</w:t>
            </w:r>
          </w:p>
        </w:tc>
      </w:tr>
      <w:tr>
        <w:tc>
          <w:tcPr>
            <w:tcW w:type="dxa" w:w="316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Protect confidentiality</w:t>
            </w:r>
          </w:p>
        </w:tc>
        <w:tc>
          <w:tcPr>
            <w:tcW w:type="dxa" w:w="79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Diagnosis, symptoms, laboratory values, specimen information and clinical notes remain in controlled medical records. Operations receives “cleared for specified duties”, “restricted”, “referred/pending” or “emergency escalation” status only.</w:t>
            </w:r>
          </w:p>
        </w:tc>
      </w:tr>
      <w:tr>
        <w:tc>
          <w:tcPr>
            <w:tcW w:type="dxa" w:w="316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Maintain handover integrity</w:t>
            </w:r>
          </w:p>
        </w:tc>
        <w:tc>
          <w:tcPr>
            <w:tcW w:type="dxa" w:w="79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 medical lead completes a confidential shift handover and a separate operational restriction roster before each food shift.</w:t>
            </w:r>
          </w:p>
        </w:tc>
      </w:tr>
      <w:tr>
        <w:tc>
          <w:tcPr>
            <w:tcW w:type="dxa" w:w="316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Avoid pseudo-clearance</w:t>
            </w:r>
          </w:p>
        </w:tc>
        <w:tc>
          <w:tcPr>
            <w:tcW w:type="dxa" w:w="79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 symptom-free answer, a verbal vendor message or elapsed time does not override a clinician/Health Authority restriction or replace written clearance.</w:t>
            </w:r>
          </w:p>
        </w:tc>
      </w:tr>
      <w:tr>
        <w:tc>
          <w:tcPr>
            <w:tcW w:type="dxa" w:w="316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Escalate early</w:t>
            </w:r>
          </w:p>
        </w:tc>
        <w:tc>
          <w:tcPr>
            <w:tcW w:type="dxa" w:w="79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Medical personnel apply the camp clinic/Health Authority route immediately when a credible concern, cluster signal, authority instruction or emergency indication arises.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2. Shift-Handover Workflow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208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Timing / gate</w:t>
            </w:r>
          </w:p>
        </w:tc>
        <w:tc>
          <w:tcPr>
            <w:tcW w:type="dxa" w:w="511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Medical personnel action</w:t>
            </w:r>
          </w:p>
        </w:tc>
        <w:tc>
          <w:tcPr>
            <w:tcW w:type="dxa" w:w="223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Operational output</w:t>
            </w:r>
          </w:p>
        </w:tc>
        <w:tc>
          <w:tcPr>
            <w:tcW w:type="dxa" w:w="165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Controlled record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T–90 to T–60 min: prepare</w:t>
            </w:r>
          </w:p>
        </w:tc>
        <w:tc>
          <w:tcPr>
            <w:tcW w:type="dxa" w:w="51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Review current clinician/Health Authority restriction list, pending referrals, declared clusters, food-safety alerts and all prior-shift medical handover actions. Confirm private screening station and clinic escalation contacts.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No food-operation details except current restriction status and required access limits.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Confidential medical handover; operational restriction roster.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T–60 to T–30 min: private screen</w:t>
            </w:r>
          </w:p>
        </w:tc>
        <w:tc>
          <w:tcPr>
            <w:tcW w:type="dxa" w:w="51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Complete a respectful, standardised verbal screen and check for existing restriction/clearance status. Ask only questions necessary for fitness-to-work risk escalation. Use interpreter support when needed.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Status code only: operationally clear; restricted; referred/pending; emergency escalation.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Medical daily screen log; clinical file reference where needed.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T–30 to shift start: decide</w:t>
            </w:r>
          </w:p>
        </w:tc>
        <w:tc>
          <w:tcPr>
            <w:tcW w:type="dxa" w:w="51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Medical lead applies clinical governance. If concern is present, restrict food duty and arrange referral/authority process; do not seek operational manager approval before restriction.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Food Safety In-Charge receives current access status / no-entry scope.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Restriction record; referral/authority instruction reference.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Shift start: verify</w:t>
            </w:r>
          </w:p>
        </w:tc>
        <w:tc>
          <w:tcPr>
            <w:tcW w:type="dxa" w:w="51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Supervisor checks each food worker against current authorised operational roster before access to food areas.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Only authorised food-duty access is allowed.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Supervisor verification/roster acknowledgement.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During shift: update</w:t>
            </w:r>
          </w:p>
        </w:tc>
        <w:tc>
          <w:tcPr>
            <w:tcW w:type="dxa" w:w="51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Any new illness report, authority call or cluster indicator triggers immediate status update, work restriction and food safety escalation.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Updated restriction/access instruction.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Time-stamped change record.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T+ end of shift: hand over</w:t>
            </w:r>
          </w:p>
        </w:tc>
        <w:tc>
          <w:tcPr>
            <w:tcW w:type="dxa" w:w="51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Outgoing medical lead reconciles screenings, restrictions, referrals, pending tests/authority conditions and unresolved actions with incoming medical lead.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Incoming Food Safety In-Charge receives only active operational access limits.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Medical handover; operational roster version record.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3. Daily Screening Script and Escalation Logic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208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Screen item</w:t>
            </w:r>
          </w:p>
        </w:tc>
        <w:tc>
          <w:tcPr>
            <w:tcW w:type="dxa" w:w="561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Medical personnel prompt / review</w:t>
            </w:r>
          </w:p>
        </w:tc>
        <w:tc>
          <w:tcPr>
            <w:tcW w:type="dxa" w:w="338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If positive or uncertain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Current fitness</w:t>
            </w:r>
          </w:p>
        </w:tc>
        <w:tc>
          <w:tcPr>
            <w:tcW w:type="dxa" w:w="56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“Are you currently unwell or unable to safely undertake your work today?”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Pause food-duty clearance and undertake clinical assessment/referral under clinic protocol.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Gastrointestinal concern</w:t>
            </w:r>
          </w:p>
        </w:tc>
        <w:tc>
          <w:tcPr>
            <w:tcW w:type="dxa" w:w="56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“Since your last screen, have you had vomiting, diarrhoea, stomach illness symptoms or been advised to avoid food work?”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Immediately restrict food, ice, water and clean-equipment duties; record clinical file reference; follow clinician/Health Authority route.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Existing restriction / exposure</w:t>
            </w:r>
          </w:p>
        </w:tc>
        <w:tc>
          <w:tcPr>
            <w:tcW w:type="dxa" w:w="56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“Do you have an active clinic/Health Authority restriction, a pending clearance, or a relevant recent exposure that has not been reviewed?”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Maintain/reinstate restriction and verify direction; do not ask for unnecessary diagnosis detail in operational setting.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Outbreak / food safety link</w:t>
            </w:r>
          </w:p>
        </w:tc>
        <w:tc>
          <w:tcPr>
            <w:tcW w:type="dxa" w:w="56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Review whether the worker is linked to a declared cluster, food/water/ice hold or authority investigation.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Use clinician/Health Authority directions; inform Food Safety In-Charge of access restriction and trace-back need only.</w:t>
            </w:r>
          </w:p>
        </w:tc>
      </w:tr>
      <w:tr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Emergency indication</w:t>
            </w:r>
          </w:p>
        </w:tc>
        <w:tc>
          <w:tcPr>
            <w:tcW w:type="dxa" w:w="56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Assess using camp clinical emergency protocol; do not delay urgent medical escalation for screening completion.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Activate emergency medical response and preserve minimal incident facts for handover.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FF2CC"/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 xml:space="preserve">Status coding: </w:t>
            </w:r>
            <w:r>
              <w:rPr>
                <w:rFonts w:ascii="Arial" w:hAnsi="Arial"/>
                <w:sz w:val="16"/>
              </w:rPr>
              <w:t>“Operationally clear” means no active reported/recorded restriction at the time of the screen. It is not a diagnosis and does not certify that a person is free from asymptomatic infection. The only clinical clearance is issued by the appropriate clinician/Health Authority.</w:t>
            </w:r>
          </w:p>
        </w:tc>
      </w:tr>
    </w:tbl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4. Shift-Handover Data Separation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223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Recipient</w:t>
            </w:r>
          </w:p>
        </w:tc>
        <w:tc>
          <w:tcPr>
            <w:tcW w:type="dxa" w:w="453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May receive</w:t>
            </w:r>
          </w:p>
        </w:tc>
        <w:tc>
          <w:tcPr>
            <w:tcW w:type="dxa" w:w="432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Must not receive</w:t>
            </w:r>
          </w:p>
        </w:tc>
      </w:tr>
      <w:tr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Incoming medical lead</w:t>
            </w:r>
          </w:p>
        </w:tc>
        <w:tc>
          <w:tcPr>
            <w:tcW w:type="dxa" w:w="453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Relevant clinical status, referral progress, authority instructions, testing/clearance pathway and confidential medical record references under applicable clinical governance.</w:t>
            </w:r>
          </w:p>
        </w:tc>
        <w:tc>
          <w:tcPr>
            <w:tcW w:type="dxa" w:w="43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Unnecessary employment/disciplinary information.</w:t>
            </w:r>
          </w:p>
        </w:tc>
      </w:tr>
      <w:tr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</w:t>
            </w:r>
          </w:p>
        </w:tc>
        <w:tc>
          <w:tcPr>
            <w:tcW w:type="dxa" w:w="453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Employee ID/role where necessary, operational status, prohibited food-duty areas, effective time and review/expiry time.</w:t>
            </w:r>
          </w:p>
        </w:tc>
        <w:tc>
          <w:tcPr>
            <w:tcW w:type="dxa" w:w="43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Diagnosis, symptoms, laboratory result, specimen type, treatment or unrelated medical history.</w:t>
            </w:r>
          </w:p>
        </w:tc>
      </w:tr>
      <w:tr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Supervisor</w:t>
            </w:r>
          </w:p>
        </w:tc>
        <w:tc>
          <w:tcPr>
            <w:tcW w:type="dxa" w:w="453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Current access decision only: “may work”, “restricted from stated duties/areas”, “do not deploy—contact medical lead”.</w:t>
            </w:r>
          </w:p>
        </w:tc>
        <w:tc>
          <w:tcPr>
            <w:tcW w:type="dxa" w:w="43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Reason for restriction or medical details.</w:t>
            </w:r>
          </w:p>
        </w:tc>
      </w:tr>
      <w:tr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confidential custodian</w:t>
            </w:r>
          </w:p>
        </w:tc>
        <w:tc>
          <w:tcPr>
            <w:tcW w:type="dxa" w:w="453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Medical report/leave/clearance reference and employment-status decision inputs consistent with law/policy.</w:t>
            </w:r>
          </w:p>
        </w:tc>
        <w:tc>
          <w:tcPr>
            <w:tcW w:type="dxa" w:w="43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Broader food-operation trace-back details unless needed for a lawful purpose.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5. RACI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72"/>
        <w:gridCol w:w="2172"/>
        <w:gridCol w:w="2172"/>
        <w:gridCol w:w="2172"/>
        <w:gridCol w:w="2172"/>
      </w:tblGrid>
      <w:tr>
        <w:tc>
          <w:tcPr>
            <w:tcW w:type="dxa" w:w="345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Activity</w:t>
            </w:r>
          </w:p>
        </w:tc>
        <w:tc>
          <w:tcPr>
            <w:tcW w:type="dxa" w:w="151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</w:t>
            </w:r>
          </w:p>
        </w:tc>
        <w:tc>
          <w:tcPr>
            <w:tcW w:type="dxa" w:w="216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</w:t>
            </w:r>
          </w:p>
        </w:tc>
        <w:tc>
          <w:tcPr>
            <w:tcW w:type="dxa" w:w="223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</w:t>
            </w:r>
          </w:p>
        </w:tc>
        <w:tc>
          <w:tcPr>
            <w:tcW w:type="dxa" w:w="158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</w:t>
            </w:r>
          </w:p>
        </w:tc>
      </w:tr>
      <w:tr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Clinical screen and triage</w:t>
            </w:r>
          </w:p>
        </w:tc>
        <w:tc>
          <w:tcPr>
            <w:tcW w:type="dxa" w:w="15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Medical Personnel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Medical Lead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Competent clinician / Health Authority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</w:t>
            </w:r>
          </w:p>
        </w:tc>
      </w:tr>
      <w:tr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Food-duty restriction</w:t>
            </w:r>
          </w:p>
        </w:tc>
        <w:tc>
          <w:tcPr>
            <w:tcW w:type="dxa" w:w="15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Medical Lead / Supervisor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 / HSE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Manager</w:t>
            </w:r>
          </w:p>
        </w:tc>
      </w:tr>
      <w:tr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Clinical referral/testing</w:t>
            </w:r>
          </w:p>
        </w:tc>
        <w:tc>
          <w:tcPr>
            <w:tcW w:type="dxa" w:w="15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 liaison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Competent clinician / Health Authority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Medical Lead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</w:t>
            </w:r>
          </w:p>
        </w:tc>
      </w:tr>
      <w:tr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Operational roster issue</w:t>
            </w:r>
          </w:p>
        </w:tc>
        <w:tc>
          <w:tcPr>
            <w:tcW w:type="dxa" w:w="15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Manager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Medical Lead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Supervisors</w:t>
            </w:r>
          </w:p>
        </w:tc>
      </w:tr>
      <w:tr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Shift handover</w:t>
            </w:r>
          </w:p>
        </w:tc>
        <w:tc>
          <w:tcPr>
            <w:tcW w:type="dxa" w:w="15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Outgoing Medical Lead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Medical Lead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Incoming Medical Lead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</w:t>
            </w:r>
          </w:p>
        </w:tc>
      </w:tr>
      <w:tr>
        <w:tc>
          <w:tcPr>
            <w:tcW w:type="dxa" w:w="34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Leave/pay/employment decision</w:t>
            </w:r>
          </w:p>
        </w:tc>
        <w:tc>
          <w:tcPr>
            <w:tcW w:type="dxa" w:w="15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case custodian</w:t>
            </w:r>
          </w:p>
        </w:tc>
        <w:tc>
          <w:tcPr>
            <w:tcW w:type="dxa" w:w="216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Manager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Legal / medical authority</w:t>
            </w:r>
          </w:p>
        </w:tc>
        <w:tc>
          <w:tcPr>
            <w:tcW w:type="dxa" w:w="15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Employee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6. UAE Employment Protections and Compensation During Medical Exclusion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237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Issue</w:t>
            </w:r>
          </w:p>
        </w:tc>
        <w:tc>
          <w:tcPr>
            <w:tcW w:type="dxa" w:w="496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Verified rule / protection</w:t>
            </w:r>
          </w:p>
        </w:tc>
        <w:tc>
          <w:tcPr>
            <w:tcW w:type="dxa" w:w="338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HR implementation boundary</w:t>
            </w:r>
          </w:p>
        </w:tc>
      </w:tr>
      <w:tr>
        <w:tc>
          <w:tcPr>
            <w:tcW w:type="dxa" w:w="23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Qualifying private-sector sick leave after probation</w:t>
            </w:r>
          </w:p>
        </w:tc>
        <w:tc>
          <w:tcPr>
            <w:tcW w:type="dxa" w:w="496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The UAE Government portal states up to 90 days per year: first 15 days full pay, next 30 days half pay, remaining 45 days no pay.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Apply only after confirming qualifying sick leave, probation status, medical report and employment-law coverage. Do not treat every pending test/restriction as automatically within one pay category.</w:t>
            </w:r>
          </w:p>
        </w:tc>
      </w:tr>
      <w:tr>
        <w:tc>
          <w:tcPr>
            <w:tcW w:type="dxa" w:w="23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Notification and report</w:t>
            </w:r>
          </w:p>
        </w:tc>
        <w:tc>
          <w:tcPr>
            <w:tcW w:type="dxa" w:w="496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Employee must notify employer of sickness within a maximum of three days and submit a medical report from a medical entity.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Provide a confidential reporting route and reasonable access to clinic/medical report process.</w:t>
            </w:r>
          </w:p>
        </w:tc>
      </w:tr>
      <w:tr>
        <w:tc>
          <w:tcPr>
            <w:tcW w:type="dxa" w:w="23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Protection during sick leave</w:t>
            </w:r>
          </w:p>
        </w:tc>
        <w:tc>
          <w:tcPr>
            <w:tcW w:type="dxa" w:w="496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Employer may not dismiss the employee or issue termination notice while on sick leave.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Separate safety restriction from termination/disciplinary decision. Seek HR/legal review before any employment action.</w:t>
            </w:r>
          </w:p>
        </w:tc>
      </w:tr>
      <w:tr>
        <w:tc>
          <w:tcPr>
            <w:tcW w:type="dxa" w:w="23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After sick leave exhaustion</w:t>
            </w:r>
          </w:p>
        </w:tc>
        <w:tc>
          <w:tcPr>
            <w:tcW w:type="dxa" w:w="496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If 90 days are exhausted and employee cannot return, the employer may terminate service; end-of-service benefits remain due according to Labour Law.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Only HR/legal may evaluate this after confirming facts, documentation and applicable law.</w:t>
            </w:r>
          </w:p>
        </w:tc>
      </w:tr>
      <w:tr>
        <w:tc>
          <w:tcPr>
            <w:tcW w:type="dxa" w:w="23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Probation</w:t>
            </w:r>
          </w:p>
        </w:tc>
        <w:tc>
          <w:tcPr>
            <w:tcW w:type="dxa" w:w="496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No paid sick leave during probation; employer may grant unpaid sick leave based on recognised Medical Authority report.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convert a health-protection restriction into a punitive measure. Document clinician/authority direction and HR decision.</w:t>
            </w:r>
          </w:p>
        </w:tc>
      </w:tr>
      <w:tr>
        <w:tc>
          <w:tcPr>
            <w:tcW w:type="dxa" w:w="237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Medical exclusion pending clearance</w:t>
            </w:r>
          </w:p>
        </w:tc>
        <w:tc>
          <w:tcPr>
            <w:tcW w:type="dxa" w:w="496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No separate public federal universal full-pay rule was confirmed for every asymptomatic carrier/contact pending clearance.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Check current Health Authority direction, contract, company policy, employment category and legal advice. The policy should not promise or deny pay automatically.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CE4D6"/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 xml:space="preserve">Important legal status: </w:t>
            </w:r>
            <w:r>
              <w:rPr>
                <w:rFonts w:ascii="Arial" w:hAnsi="Arial"/>
                <w:sz w:val="16"/>
              </w:rPr>
              <w:t>July 2026 media reports described employee-pay protection during declared epidemics/pandemics, but a current operative primary legal text with a specific mandatory pay provision was not located in official legislation sources reviewed. This guide therefore does not treat those reports as a general entitlement. HR must check current gazetted law before making a compensation decision.</w:t>
            </w:r>
          </w:p>
        </w:tc>
      </w:tr>
    </w:tbl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7. Required Assurance, Audit and Training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302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Control</w:t>
            </w:r>
          </w:p>
        </w:tc>
        <w:tc>
          <w:tcPr>
            <w:tcW w:type="dxa" w:w="799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Minimum evidence</w:t>
            </w:r>
          </w:p>
        </w:tc>
      </w:tr>
      <w:tr>
        <w:tc>
          <w:tcPr>
            <w:tcW w:type="dxa" w:w="302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Medical personnel competence</w:t>
            </w:r>
          </w:p>
        </w:tc>
        <w:tc>
          <w:tcPr>
            <w:tcW w:type="dxa" w:w="79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Named medical lead, current licence/clinical governance confirmation and documented training on confidentiality, referral and escalation.</w:t>
            </w:r>
          </w:p>
        </w:tc>
      </w:tr>
      <w:tr>
        <w:tc>
          <w:tcPr>
            <w:tcW w:type="dxa" w:w="302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System test</w:t>
            </w:r>
          </w:p>
        </w:tc>
        <w:tc>
          <w:tcPr>
            <w:tcW w:type="dxa" w:w="79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Monthly shift-handover drill proves the restriction roster reaches food operations before deployment.</w:t>
            </w:r>
          </w:p>
        </w:tc>
      </w:tr>
      <w:tr>
        <w:tc>
          <w:tcPr>
            <w:tcW w:type="dxa" w:w="302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Data audit</w:t>
            </w:r>
          </w:p>
        </w:tc>
        <w:tc>
          <w:tcPr>
            <w:tcW w:type="dxa" w:w="79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Monthly audit verifies that operational files do not contain diagnoses/lab values and medical handover is access controlled.</w:t>
            </w:r>
          </w:p>
        </w:tc>
      </w:tr>
      <w:tr>
        <w:tc>
          <w:tcPr>
            <w:tcW w:type="dxa" w:w="302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Cluster test</w:t>
            </w:r>
          </w:p>
        </w:tc>
        <w:tc>
          <w:tcPr>
            <w:tcW w:type="dxa" w:w="79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Quarterly tabletop tests immediate restriction, clinic/Health Authority contact, food safety trace-back and HR notification.</w:t>
            </w:r>
          </w:p>
        </w:tc>
      </w:tr>
      <w:tr>
        <w:tc>
          <w:tcPr>
            <w:tcW w:type="dxa" w:w="302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Return control</w:t>
            </w:r>
          </w:p>
        </w:tc>
        <w:tc>
          <w:tcPr>
            <w:tcW w:type="dxa" w:w="79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Sample records confirm that no food-duty re-entry occurred before authorised clearance reference and operational release.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8. References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72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Ref.</w:t>
            </w:r>
          </w:p>
        </w:tc>
        <w:tc>
          <w:tcPr>
            <w:tcW w:type="dxa" w:w="540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Requirement / relevance</w:t>
            </w:r>
          </w:p>
        </w:tc>
        <w:tc>
          <w:tcPr>
            <w:tcW w:type="dxa" w:w="489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Source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[1]</w:t>
            </w:r>
          </w:p>
        </w:tc>
        <w:tc>
          <w:tcPr>
            <w:tcW w:type="dxa" w:w="54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UAE Labour Law sick-leave protection, compensation and notification summary.</w:t>
            </w:r>
          </w:p>
        </w:tc>
        <w:tc>
          <w:tcPr>
            <w:tcW w:type="dxa" w:w="48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https://u.ae/en/information-and-services/jobs/Sector-of-employment/employment-in-the-private-sector/Types-of-leaves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[2]</w:t>
            </w:r>
          </w:p>
        </w:tc>
        <w:tc>
          <w:tcPr>
            <w:tcW w:type="dxa" w:w="54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Federal Decree-Law No. 33 of 2021 on Regulation of Employment Relationships.</w:t>
            </w:r>
          </w:p>
        </w:tc>
        <w:tc>
          <w:tcPr>
            <w:tcW w:type="dxa" w:w="48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https://uaelegislation.gov.ae/en/legislations/1541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[3]</w:t>
            </w:r>
          </w:p>
        </w:tc>
        <w:tc>
          <w:tcPr>
            <w:tcW w:type="dxa" w:w="54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Communicable disease authority controls, surveillance and return conditions.</w:t>
            </w:r>
          </w:p>
        </w:tc>
        <w:tc>
          <w:tcPr>
            <w:tcW w:type="dxa" w:w="48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https://uaelegislation.gov.ae/en/legislations/1198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[4]</w:t>
            </w:r>
          </w:p>
        </w:tc>
        <w:tc>
          <w:tcPr>
            <w:tcW w:type="dxa" w:w="54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Executive Regulations: reporting, Health Authority action, quarantine/isolation controls.</w:t>
            </w:r>
          </w:p>
        </w:tc>
        <w:tc>
          <w:tcPr>
            <w:tcW w:type="dxa" w:w="48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https://uaelegislation.gov.ae/en/legislations/1197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CE4D6"/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 xml:space="preserve">Before deployment: </w:t>
            </w:r>
            <w:r>
              <w:rPr>
                <w:rFonts w:ascii="Arial" w:hAnsi="Arial"/>
                <w:sz w:val="16"/>
              </w:rPr>
              <w:t>Obtain sign-off from the camp Medical Director/competent clinician, Food Safety In-Charge, HR/legal reviewer and client representative. Add current local authority contacts, medical escalation instructions, approved roster access controls and language/translation arrangements.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691" w:right="691" w:bottom="648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4"/>
      </w:rPr>
      <w:t xml:space="preserve">Camp medical screening and employment protections | Controlled copy | Page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256"/>
      <w:gridCol w:w="5256"/>
    </w:tblGrid>
    <w:tr>
      <w:tc>
        <w:tcPr>
          <w:tcW w:type="dxa" w:w="5256"/>
          <w:shd w:fill="153B5B"/>
          <w:vAlign w:val="center"/>
        </w:tcPr>
        <w:p>
          <w:pPr>
            <w:spacing w:after="0"/>
          </w:pPr>
          <w:r/>
          <w:r>
            <w:rPr>
              <w:rFonts w:ascii="Arial" w:hAnsi="Arial"/>
              <w:b/>
              <w:color w:val="FFFFFF"/>
              <w:sz w:val="14"/>
            </w:rPr>
            <w:t>REMOTE CAMP — MEDICAL SCREENING &amp; SHIFT HANDOVER</w:t>
          </w:r>
        </w:p>
      </w:tc>
      <w:tc>
        <w:tcPr>
          <w:tcW w:type="dxa" w:w="5256"/>
          <w:shd w:fill="008C95"/>
          <w:vAlign w:val="center"/>
        </w:tcPr>
        <w:p>
          <w:pPr>
            <w:spacing w:after="0"/>
          </w:pPr>
          <w:r/>
          <w:r>
            <w:rPr>
              <w:rFonts w:ascii="Arial" w:hAnsi="Arial"/>
              <w:b/>
              <w:color w:val="FFFFFF"/>
              <w:sz w:val="14"/>
            </w:rPr>
            <w:t>INTERMASS WORKING DOCUMENT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