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53B5B"/>
          <w:sz w:val="34"/>
        </w:rPr>
        <w:t>DRAFT CONTRACT TEMPLATE</w:t>
        <w:br/>
        <w:t>REMOTE CAMP DEEP-CLEANING AND DISINFECTION SERVICES</w:t>
      </w:r>
    </w:p>
    <w:p>
      <w:pPr>
        <w:jc w:val="center"/>
      </w:pPr>
      <w:r>
        <w:rPr>
          <w:rFonts w:ascii="Arial" w:hAnsi="Arial"/>
          <w:i/>
          <w:sz w:val="20"/>
        </w:rPr>
        <w:t>Multi-Case Quarantine Quarters | UAE</w:t>
      </w:r>
    </w:p>
    <w:tbl>
      <w:tblPr>
        <w:tblStyle w:val="TableGrid"/>
        <w:tblW w:type="auto" w:w="0"/>
        <w:jc w:val="center"/>
        <w:tblLook w:firstColumn="1" w:firstRow="1" w:lastColumn="0" w:lastRow="0" w:noHBand="0" w:noVBand="1" w:val="04A0"/>
      </w:tblPr>
      <w:tblGrid>
        <w:gridCol w:w="2714"/>
        <w:gridCol w:w="2714"/>
        <w:gridCol w:w="2714"/>
        <w:gridCol w:w="2714"/>
      </w:tblGrid>
      <w:tr>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31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c>
          <w:tcPr>
            <w:tcW w:type="dxa" w:w="194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Document field</w:t>
            </w:r>
          </w:p>
        </w:tc>
        <w:tc>
          <w:tcPr>
            <w:tcW w:type="dxa" w:w="331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Detail</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Agreement reference</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Revision</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00</w:t>
            </w:r>
          </w:p>
        </w:tc>
      </w:tr>
      <w:tr>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Client / Employer</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[Legal name]</w:t>
            </w:r>
          </w:p>
        </w:tc>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Contractor</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[Legal name]</w:t>
            </w:r>
          </w:p>
        </w:tc>
      </w:tr>
      <w:tr>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Site / emirate</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c>
          <w:tcPr>
            <w:tcW w:type="dxa" w:w="194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Effective date</w:t>
            </w:r>
          </w:p>
        </w:tc>
        <w:tc>
          <w:tcPr>
            <w:tcW w:type="dxa" w:w="331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[Enter]</w:t>
            </w:r>
          </w:p>
        </w:tc>
      </w:tr>
      <w:tr>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Owner</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Procurement / HSE / Food Safety</w:t>
            </w:r>
          </w:p>
        </w:tc>
        <w:tc>
          <w:tcPr>
            <w:tcW w:type="dxa" w:w="194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Status</w:t>
            </w:r>
          </w:p>
        </w:tc>
        <w:tc>
          <w:tcPr>
            <w:tcW w:type="dxa" w:w="331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Draft — legal/HSE review required</w:t>
            </w:r>
          </w:p>
        </w:tc>
      </w:tr>
    </w:tbl>
    <w:p>
      <w:pPr>
        <w:spacing w:after="40"/>
      </w:pPr>
    </w:p>
    <w:tbl>
      <w:tblPr>
        <w:tblW w:type="auto" w:w="0"/>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Draft and authority boundary: </w:t>
            </w:r>
            <w:r>
              <w:rPr>
                <w:rFonts w:ascii="Arial" w:hAnsi="Arial"/>
                <w:sz w:val="16"/>
              </w:rPr>
              <w:t>This is a commercial/HSE working template, not a signed agreement or authority permit. Obtain UAE-qualified legal review, insurance/procurement approval, project HSE approval and current local-authority confirmation before execution. Disease-specific Health Authority or food authority instructions override any generic scope.</w:t>
            </w:r>
          </w:p>
        </w:tc>
      </w:tr>
    </w:tbl>
    <w:p>
      <w:pPr>
        <w:spacing w:before="140" w:after="60"/>
      </w:pPr>
      <w:r>
        <w:rPr>
          <w:rFonts w:ascii="Arial" w:hAnsi="Arial"/>
          <w:b/>
          <w:color w:val="153B5B"/>
          <w:sz w:val="28"/>
        </w:rPr>
        <w:t>1. Parties, Purpose and Order of Precedence</w:t>
      </w:r>
    </w:p>
    <w:tbl>
      <w:tblPr>
        <w:tblStyle w:val="TableGrid"/>
        <w:tblW w:type="auto" w:w="0"/>
        <w:jc w:val="center"/>
        <w:tblLook w:firstColumn="1" w:firstRow="1" w:lastColumn="0" w:lastRow="0" w:noHBand="0" w:noVBand="1" w:val="04A0"/>
      </w:tblPr>
      <w:tblGrid>
        <w:gridCol w:w="5429"/>
        <w:gridCol w:w="5429"/>
      </w:tblGrid>
      <w:tr>
        <w:tc>
          <w:tcPr>
            <w:tcW w:type="dxa" w:w="17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Clause</w:t>
            </w:r>
          </w:p>
        </w:tc>
        <w:tc>
          <w:tcPr>
            <w:tcW w:type="dxa" w:w="921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Template wording</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1.1 Parties</w:t>
            </w:r>
          </w:p>
        </w:tc>
        <w:tc>
          <w:tcPr>
            <w:tcW w:type="dxa" w:w="92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This agreement is between [Client legal name] (“Client”) and [Contractor legal name] (“Contractor”) for the services at [camp/location].</w:t>
            </w:r>
          </w:p>
        </w:tc>
      </w:tr>
      <w:tr>
        <w:tc>
          <w:tcPr>
            <w:tcW w:type="dxa" w:w="17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1.2 Purpose</w:t>
            </w:r>
          </w:p>
        </w:tc>
        <w:tc>
          <w:tcPr>
            <w:tcW w:type="dxa" w:w="921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The Contractor shall provide professional deep-cleaning, disinfection and associated waste/laundry support only within the approved work scope, method statement, MSRA, authority directions and this agreement.</w:t>
            </w:r>
          </w:p>
        </w:tc>
      </w:tr>
      <w:tr>
        <w:tc>
          <w:tcPr>
            <w:tcW w:type="dxa" w:w="17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1.3 Order of precedence</w:t>
            </w:r>
          </w:p>
        </w:tc>
        <w:tc>
          <w:tcPr>
            <w:tcW w:type="dxa" w:w="921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 mandatory law/authority direction; (b) written Health Authority/food authority instruction; (c) this agreement and purchase order; (d) approved task method statement/MSRA; (e) Contractor proposal. A lower document may not relax a higher requirement.</w:t>
            </w:r>
          </w:p>
        </w:tc>
      </w:tr>
      <w:tr>
        <w:tc>
          <w:tcPr>
            <w:tcW w:type="dxa" w:w="17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1.4 No clinical role</w:t>
            </w:r>
          </w:p>
        </w:tc>
        <w:tc>
          <w:tcPr>
            <w:tcW w:type="dxa" w:w="921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The Contractor shall not diagnose disease, determine medical quarantine, issue a medical clearance, undertake sampling unless explicitly authorised, or release a restricted quarter/person/process.</w:t>
            </w:r>
          </w:p>
        </w:tc>
      </w:tr>
    </w:tbl>
    <w:p>
      <w:pPr>
        <w:spacing w:after="40"/>
      </w:pPr>
    </w:p>
    <w:p>
      <w:pPr>
        <w:spacing w:before="140" w:after="60"/>
      </w:pPr>
      <w:r>
        <w:rPr>
          <w:rFonts w:ascii="Arial" w:hAnsi="Arial"/>
          <w:b/>
          <w:color w:val="153B5B"/>
          <w:sz w:val="28"/>
        </w:rPr>
        <w:t>2. Contractor Pre-Qualification and Mobilisation Conditions</w:t>
      </w:r>
    </w:p>
    <w:tbl>
      <w:tblPr>
        <w:tblStyle w:val="TableGrid"/>
        <w:tblW w:type="auto" w:w="0"/>
        <w:jc w:val="center"/>
        <w:tblLook w:firstColumn="1" w:firstRow="1" w:lastColumn="0" w:lastRow="0" w:noHBand="0" w:noVBand="1" w:val="04A0"/>
      </w:tblPr>
      <w:tblGrid>
        <w:gridCol w:w="3619"/>
        <w:gridCol w:w="3619"/>
        <w:gridCol w:w="3619"/>
      </w:tblGrid>
      <w:tr>
        <w:tc>
          <w:tcPr>
            <w:tcW w:type="dxa" w:w="216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Requirement</w:t>
            </w:r>
          </w:p>
        </w:tc>
        <w:tc>
          <w:tcPr>
            <w:tcW w:type="dxa" w:w="662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Contractor must provide before mobilisation</w:t>
            </w:r>
          </w:p>
        </w:tc>
        <w:tc>
          <w:tcPr>
            <w:tcW w:type="dxa" w:w="216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Client acceptance</w:t>
            </w:r>
          </w:p>
        </w:tc>
      </w:tr>
      <w:tr>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Legal/service status</w:t>
            </w:r>
          </w:p>
        </w:tc>
        <w:tc>
          <w:tcPr>
            <w:tcW w:type="dxa" w:w="66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Current trade licence, activity authorisation and any local approval required for the stated cleaning/disinfection service in the project emirate. For Dubai, dated evidence of current relevant cleaning/disinfection company status must be provided where applicable.</w:t>
            </w:r>
          </w:p>
        </w:tc>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Procurement/HSE verification.</w:t>
            </w:r>
          </w:p>
        </w:tc>
      </w:tr>
      <w:tr>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Insurance</w:t>
            </w:r>
          </w:p>
        </w:tc>
        <w:tc>
          <w:tcPr>
            <w:tcW w:type="dxa" w:w="662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Public liability, employer’s liability/workers compensation, professional/service liability where applicable and vehicle insurance.</w:t>
            </w:r>
          </w:p>
        </w:tc>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Certificate review.</w:t>
            </w:r>
          </w:p>
        </w:tc>
      </w:tr>
      <w:tr>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Competence</w:t>
            </w:r>
          </w:p>
        </w:tc>
        <w:tc>
          <w:tcPr>
            <w:tcW w:type="dxa" w:w="66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Named supervisor; trained cleaning team; chemical handling/PPE competence records; language/communication plan; medical fitness/work authorisation as applicable.</w:t>
            </w:r>
          </w:p>
        </w:tc>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HSE competency review.</w:t>
            </w:r>
          </w:p>
        </w:tc>
      </w:tr>
      <w:tr>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Task plan</w:t>
            </w:r>
          </w:p>
        </w:tc>
        <w:tc>
          <w:tcPr>
            <w:tcW w:type="dxa" w:w="662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Task-specific method statement, 5×5 MSRA, emergency plan, access plan, food-contact safeguards, waste/laundry controls and authority instruction log.</w:t>
            </w:r>
          </w:p>
        </w:tc>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Food Safety/HSE approval.</w:t>
            </w:r>
          </w:p>
        </w:tc>
      </w:tr>
      <w:tr>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Chemical package</w:t>
            </w:r>
          </w:p>
        </w:tc>
        <w:tc>
          <w:tcPr>
            <w:tcW w:type="dxa" w:w="662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Product register, current SDS and TDS, manufacturer label, batch/expiry, intended use, compatibility review and current approval/list evidence where applicable.</w:t>
            </w:r>
          </w:p>
        </w:tc>
        <w:tc>
          <w:tcPr>
            <w:tcW w:type="dxa" w:w="216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Chemical approval gate.</w:t>
            </w:r>
          </w:p>
        </w:tc>
      </w:tr>
      <w:tr>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Equipment</w:t>
            </w:r>
          </w:p>
        </w:tc>
        <w:tc>
          <w:tcPr>
            <w:tcW w:type="dxa" w:w="662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Inventory, calibration/maintenance evidence if relevant, clean/dirty zone allocation and decontamination plan for reusable equipment.</w:t>
            </w:r>
          </w:p>
        </w:tc>
        <w:tc>
          <w:tcPr>
            <w:tcW w:type="dxa" w:w="216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Mobilisation check.</w:t>
            </w:r>
          </w:p>
        </w:tc>
      </w:tr>
    </w:tbl>
    <w:p>
      <w:pPr>
        <w:spacing w:after="40"/>
      </w:pPr>
    </w:p>
    <w:p>
      <w:pPr>
        <w:spacing w:before="140" w:after="60"/>
      </w:pPr>
      <w:r>
        <w:rPr>
          <w:rFonts w:ascii="Arial" w:hAnsi="Arial"/>
          <w:b/>
          <w:color w:val="153B5B"/>
          <w:sz w:val="28"/>
        </w:rPr>
        <w:t>3. Scope of Work and Authority-Controlled Boundaries</w:t>
      </w:r>
    </w:p>
    <w:tbl>
      <w:tblPr>
        <w:tblStyle w:val="TableGrid"/>
        <w:tblW w:type="auto" w:w="0"/>
        <w:jc w:val="center"/>
        <w:tblLook w:firstColumn="1" w:firstRow="1" w:lastColumn="0" w:lastRow="0" w:noHBand="0" w:noVBand="1" w:val="04A0"/>
      </w:tblPr>
      <w:tblGrid>
        <w:gridCol w:w="5429"/>
        <w:gridCol w:w="5429"/>
      </w:tblGrid>
      <w:tr>
        <w:tc>
          <w:tcPr>
            <w:tcW w:type="dxa" w:w="230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Scope item</w:t>
            </w:r>
          </w:p>
        </w:tc>
        <w:tc>
          <w:tcPr>
            <w:tcW w:type="dxa" w:w="864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Mandatory contractor obligation</w:t>
            </w:r>
          </w:p>
        </w:tc>
      </w:tr>
      <w:tr>
        <w:tc>
          <w:tcPr>
            <w:tcW w:type="dxa" w:w="23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Area controls</w:t>
            </w:r>
          </w:p>
        </w:tc>
        <w:tc>
          <w:tcPr>
            <w:tcW w:type="dxa" w:w="86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Follow approved access zoning; do not enter restricted quarters, food areas or evidence-hold zones until the Client and competent authority/medical lead authorise access.</w:t>
            </w:r>
          </w:p>
        </w:tc>
      </w:tr>
      <w:tr>
        <w:tc>
          <w:tcPr>
            <w:tcW w:type="dxa" w:w="23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Evidence preservation</w:t>
            </w:r>
          </w:p>
        </w:tc>
        <w:tc>
          <w:tcPr>
            <w:tcW w:type="dxa" w:w="86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Do not discard food, water, ice, linen, waste or cleaning evidence where it may be relevant to investigation until written hold/release instructions are logged.</w:t>
            </w:r>
          </w:p>
        </w:tc>
      </w:tr>
      <w:tr>
        <w:tc>
          <w:tcPr>
            <w:tcW w:type="dxa" w:w="23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Deep cleaning</w:t>
            </w:r>
          </w:p>
        </w:tc>
        <w:tc>
          <w:tcPr>
            <w:tcW w:type="dxa" w:w="86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Perform only the approved cleaning/disinfection sequence. Use clean-to-dirty work, dedicated tools by zone and controlled re-entry.</w:t>
            </w:r>
          </w:p>
        </w:tc>
      </w:tr>
      <w:tr>
        <w:tc>
          <w:tcPr>
            <w:tcW w:type="dxa" w:w="23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Food-contact surfaces</w:t>
            </w:r>
          </w:p>
        </w:tc>
        <w:tc>
          <w:tcPr>
            <w:tcW w:type="dxa" w:w="86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Use products and post-application rinsing/sanitising arrangements compatible with intended food-contact use; obtain Food Safety In-Charge acceptance before food operations restart.</w:t>
            </w:r>
          </w:p>
        </w:tc>
      </w:tr>
      <w:tr>
        <w:tc>
          <w:tcPr>
            <w:tcW w:type="dxa" w:w="23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Waste/laundry</w:t>
            </w:r>
          </w:p>
        </w:tc>
        <w:tc>
          <w:tcPr>
            <w:tcW w:type="dxa" w:w="86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Segregate, package, transport and dispose/clean materials through the approved route; do not classify waste contrary to authority direction.</w:t>
            </w:r>
          </w:p>
        </w:tc>
      </w:tr>
      <w:tr>
        <w:tc>
          <w:tcPr>
            <w:tcW w:type="dxa" w:w="23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Sampling</w:t>
            </w:r>
          </w:p>
        </w:tc>
        <w:tc>
          <w:tcPr>
            <w:tcW w:type="dxa" w:w="86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Environmental sampling or swabbing is performed only when authority-directed and by the authorised laboratory/team. Contractor supports access and chain-of-custody logistics only.</w:t>
            </w:r>
          </w:p>
        </w:tc>
      </w:tr>
      <w:tr>
        <w:tc>
          <w:tcPr>
            <w:tcW w:type="dxa" w:w="23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Close-out</w:t>
            </w:r>
          </w:p>
        </w:tc>
        <w:tc>
          <w:tcPr>
            <w:tcW w:type="dxa" w:w="86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Submit records, cleaning verification, waste/laundry evidence, chemical use log and punch-list closure. No self-release of authority-restricted quarters.</w:t>
            </w:r>
          </w:p>
        </w:tc>
      </w:tr>
    </w:tbl>
    <w:p>
      <w:pPr>
        <w:spacing w:after="40"/>
      </w:pPr>
    </w:p>
    <w:p>
      <w:pPr>
        <w:spacing w:before="140" w:after="60"/>
      </w:pPr>
      <w:r>
        <w:rPr>
          <w:rFonts w:ascii="Arial" w:hAnsi="Arial"/>
          <w:b/>
          <w:color w:val="153B5B"/>
          <w:sz w:val="28"/>
        </w:rPr>
        <w:t>4. Chemical Approval Standards</w:t>
      </w:r>
    </w:p>
    <w:tbl>
      <w:tblPr>
        <w:tblStyle w:val="TableGrid"/>
        <w:tblW w:type="auto" w:w="0"/>
        <w:jc w:val="center"/>
        <w:tblLook w:firstColumn="1" w:firstRow="1" w:lastColumn="0" w:lastRow="0" w:noHBand="0" w:noVBand="1" w:val="04A0"/>
      </w:tblPr>
      <w:tblGrid>
        <w:gridCol w:w="5429"/>
        <w:gridCol w:w="5429"/>
      </w:tblGrid>
      <w:tr>
        <w:tc>
          <w:tcPr>
            <w:tcW w:type="dxa" w:w="259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Control</w:t>
            </w:r>
          </w:p>
        </w:tc>
        <w:tc>
          <w:tcPr>
            <w:tcW w:type="dxa" w:w="8352"/>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Contract requirement</w:t>
            </w:r>
          </w:p>
        </w:tc>
      </w:tr>
      <w:tr>
        <w:tc>
          <w:tcPr>
            <w:tcW w:type="dxa" w:w="259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Approved professional biocides</w:t>
            </w:r>
          </w:p>
        </w:tc>
        <w:tc>
          <w:tcPr>
            <w:tcW w:type="dxa" w:w="83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Use only products that are lawfully supplied and approved/authorised for the intended professional use in the project jurisdiction. For Dubai, submit current Dubai Municipality Approved Biocides for Professional Use B2B evidence where applicable and obtain Client written acceptance before use.</w:t>
            </w:r>
          </w:p>
        </w:tc>
      </w:tr>
      <w:tr>
        <w:tc>
          <w:tcPr>
            <w:tcW w:type="dxa" w:w="259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Product information</w:t>
            </w:r>
          </w:p>
        </w:tc>
        <w:tc>
          <w:tcPr>
            <w:tcW w:type="dxa" w:w="835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Submit current SDS, TDS, manufacturer label, intended-use statement, batch/expiry, storage requirement, incompatibility statement and emergency measures. Documents must be readable by personnel and available at point of use.</w:t>
            </w:r>
          </w:p>
        </w:tc>
      </w:tr>
      <w:tr>
        <w:tc>
          <w:tcPr>
            <w:tcW w:type="dxa" w:w="259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No substitution</w:t>
            </w:r>
          </w:p>
        </w:tc>
        <w:tc>
          <w:tcPr>
            <w:tcW w:type="dxa" w:w="83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No product, dilution method, delivery method or fragrance/additive substitution without written Client/Food Safety/HSE approval and revised MSRA.</w:t>
            </w:r>
          </w:p>
        </w:tc>
      </w:tr>
      <w:tr>
        <w:tc>
          <w:tcPr>
            <w:tcW w:type="dxa" w:w="259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Chemical compatibility</w:t>
            </w:r>
          </w:p>
        </w:tc>
        <w:tc>
          <w:tcPr>
            <w:tcW w:type="dxa" w:w="835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Assess potential incompatibility with other site chemicals, surfaces, food contact materials, water systems and waste streams. Mixing is prohibited unless explicitly authorised by manufacturer/SDS and task plan.</w:t>
            </w:r>
          </w:p>
        </w:tc>
      </w:tr>
      <w:tr>
        <w:tc>
          <w:tcPr>
            <w:tcW w:type="dxa" w:w="259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Labelling/storage</w:t>
            </w:r>
          </w:p>
        </w:tc>
        <w:tc>
          <w:tcPr>
            <w:tcW w:type="dxa" w:w="8352"/>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Maintain original labels or durable controlled secondary labels; secure storage; segregate incompatible substances; control access; protect against heat/damage; retain spill response materials.</w:t>
            </w:r>
          </w:p>
        </w:tc>
      </w:tr>
      <w:tr>
        <w:tc>
          <w:tcPr>
            <w:tcW w:type="dxa" w:w="259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Use controls</w:t>
            </w:r>
          </w:p>
        </w:tc>
        <w:tc>
          <w:tcPr>
            <w:tcW w:type="dxa" w:w="8352"/>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Prepare/apply only by trained workers; follow label/SDS contact time and dilution; ensure ventilation and area exclusion; log operator, product, batch, dilution method and area.</w:t>
            </w:r>
          </w:p>
        </w:tc>
      </w:tr>
    </w:tbl>
    <w:p>
      <w:pPr>
        <w:spacing w:after="40"/>
      </w:pPr>
    </w:p>
    <w:p>
      <w:pPr>
        <w:spacing w:before="140" w:after="60"/>
      </w:pPr>
      <w:r>
        <w:rPr>
          <w:rFonts w:ascii="Arial" w:hAnsi="Arial"/>
          <w:b/>
          <w:color w:val="153B5B"/>
          <w:sz w:val="28"/>
        </w:rPr>
        <w:t>5. PPE and Chemical Handling — High-Level Disinfection</w:t>
      </w:r>
    </w:p>
    <w:tbl>
      <w:tblPr>
        <w:tblStyle w:val="TableGrid"/>
        <w:tblW w:type="auto" w:w="0"/>
        <w:jc w:val="center"/>
        <w:tblLook w:firstColumn="1" w:firstRow="1" w:lastColumn="0" w:lastRow="0" w:noHBand="0" w:noVBand="1" w:val="04A0"/>
      </w:tblPr>
      <w:tblGrid>
        <w:gridCol w:w="3619"/>
        <w:gridCol w:w="3619"/>
        <w:gridCol w:w="3619"/>
      </w:tblGrid>
      <w:tr>
        <w:tc>
          <w:tcPr>
            <w:tcW w:type="dxa" w:w="25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Hazard / task condition</w:t>
            </w:r>
          </w:p>
        </w:tc>
        <w:tc>
          <w:tcPr>
            <w:tcW w:type="dxa" w:w="540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Minimum contract control</w:t>
            </w:r>
          </w:p>
        </w:tc>
        <w:tc>
          <w:tcPr>
            <w:tcW w:type="dxa" w:w="288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PPE selection rule</w:t>
            </w:r>
          </w:p>
        </w:tc>
      </w:tr>
      <w:tr>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All chemical work</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Approved MSRA, SDS review, trained operative, pre-task brief/PTW and access exclusion.</w:t>
            </w:r>
          </w:p>
        </w:tc>
        <w:tc>
          <w:tcPr>
            <w:tcW w:type="dxa" w:w="288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PPE selected from SDS/MSRA; must be provided free, inspected, used correctly and replaced when compromised.</w:t>
            </w:r>
          </w:p>
        </w:tc>
      </w:tr>
      <w:tr>
        <w:tc>
          <w:tcPr>
            <w:tcW w:type="dxa" w:w="252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Splash / corrosive or irritant risk</w:t>
            </w:r>
          </w:p>
        </w:tc>
        <w:tc>
          <w:tcPr>
            <w:tcW w:type="dxa" w:w="540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Controlled dilution/application, splash avoidance, eyewash/first aid route and supervision.</w:t>
            </w:r>
          </w:p>
        </w:tc>
        <w:tc>
          <w:tcPr>
            <w:tcW w:type="dxa" w:w="288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Chemical-resistant gloves compatible with product; splash goggles; face shield where splash risk remains; protective clothing/coverall and footwear as SDS/MSRA require.</w:t>
            </w:r>
          </w:p>
        </w:tc>
      </w:tr>
      <w:tr>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Aerosol/vapour or inadequate ventilation risk</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Engineering/work-practice controls first: eliminate spraying where possible, improve ventilation, restrict occupancy and monitor task conditions.</w:t>
            </w:r>
          </w:p>
        </w:tc>
        <w:tc>
          <w:tcPr>
            <w:tcW w:type="dxa" w:w="288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Respiratory protection only where SDS/MSRA requires and only under a respiratory protection programme with suitable selection, fit assessment/training, cleaning/storage and medical fitness as applicable.</w:t>
            </w:r>
          </w:p>
        </w:tc>
      </w:tr>
      <w:tr>
        <w:tc>
          <w:tcPr>
            <w:tcW w:type="dxa" w:w="252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Contaminated rooms / PPE doffing</w:t>
            </w:r>
          </w:p>
        </w:tc>
        <w:tc>
          <w:tcPr>
            <w:tcW w:type="dxa" w:w="540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Defined clean/dirty transition, hand hygiene and controlled PPE removal to avoid cross-contamination.</w:t>
            </w:r>
          </w:p>
        </w:tc>
        <w:tc>
          <w:tcPr>
            <w:tcW w:type="dxa" w:w="288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Dedicated/cleanable or disposable PPE as task plan states; never reuse contaminated PPE without approved decontamination.</w:t>
            </w:r>
          </w:p>
        </w:tc>
      </w:tr>
      <w:tr>
        <w:tc>
          <w:tcPr>
            <w:tcW w:type="dxa" w:w="25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Spill / exposure</w:t>
            </w:r>
          </w:p>
        </w:tc>
        <w:tc>
          <w:tcPr>
            <w:tcW w:type="dxa" w:w="540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Stop work, isolate area, use SDS emergency measures, seek medical support as required and notify Client.</w:t>
            </w:r>
          </w:p>
        </w:tc>
        <w:tc>
          <w:tcPr>
            <w:tcW w:type="dxa" w:w="288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Emergency PPE/spill kit specified by SDS/MSRA. Do not improvise neutralisation or chemical mixing.</w:t>
            </w:r>
          </w:p>
        </w:tc>
      </w:tr>
    </w:tbl>
    <w:p>
      <w:pPr>
        <w:spacing w:after="40"/>
      </w:pPr>
    </w:p>
    <w:p>
      <w:pPr>
        <w:spacing w:before="140" w:after="60"/>
      </w:pPr>
      <w:r>
        <w:rPr>
          <w:rFonts w:ascii="Arial" w:hAnsi="Arial"/>
          <w:b/>
          <w:color w:val="153B5B"/>
          <w:sz w:val="28"/>
        </w:rPr>
        <w:t>6. Supervision, Quality, Records and Stop Work</w:t>
      </w:r>
    </w:p>
    <w:tbl>
      <w:tblPr>
        <w:tblStyle w:val="TableGrid"/>
        <w:tblW w:type="auto" w:w="0"/>
        <w:jc w:val="center"/>
        <w:tblLook w:firstColumn="1" w:firstRow="1" w:lastColumn="0" w:lastRow="0" w:noHBand="0" w:noVBand="1" w:val="04A0"/>
      </w:tblPr>
      <w:tblGrid>
        <w:gridCol w:w="5429"/>
        <w:gridCol w:w="5429"/>
      </w:tblGrid>
      <w:tr>
        <w:tc>
          <w:tcPr>
            <w:tcW w:type="dxa" w:w="237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Requirement</w:t>
            </w:r>
          </w:p>
        </w:tc>
        <w:tc>
          <w:tcPr>
            <w:tcW w:type="dxa" w:w="856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Contract wording</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Supervision</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Contractor provides a competent on-site supervisor whenever work is underway, with authority to stop work. Client may direct immediate stop work for unsafe practice, non-approved chemical, missing PPE, authority instruction, evidence risk or access breach.</w:t>
            </w:r>
          </w:p>
        </w:tc>
      </w:tr>
      <w:tr>
        <w:tc>
          <w:tcPr>
            <w:tcW w:type="dxa" w:w="237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Daily records</w:t>
            </w:r>
          </w:p>
        </w:tc>
        <w:tc>
          <w:tcPr>
            <w:tcW w:type="dxa" w:w="856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Pre-task brief/PTW, team/competence list, chemical batch/SDS check, PPE inspection, area access list, cleaning log, deviations, waste/laundry handover and close-out verification.</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Inspection/audit</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Client and competent authority may inspect work, records, chemicals, equipment and storage. Contractor promptly corrects findings at its cost where due to Contractor non-compliance.</w:t>
            </w:r>
          </w:p>
        </w:tc>
      </w:tr>
      <w:tr>
        <w:tc>
          <w:tcPr>
            <w:tcW w:type="dxa" w:w="237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Non-conformance</w:t>
            </w:r>
          </w:p>
        </w:tc>
        <w:tc>
          <w:tcPr>
            <w:tcW w:type="dxa" w:w="856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Contractor shall immediately report chemical spill/exposure, PPE failure, access breach, wrong-product use, suspected contamination spread, injury or authority contact; submit incident/CAPA within [24] hours unless authority directs otherwise.</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Acceptance</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Acceptance is based on approved scope completion and evidence, not visual appearance alone. Authority/clinician/food safety restrictions remain in force until formally released.</w:t>
            </w:r>
          </w:p>
        </w:tc>
      </w:tr>
    </w:tbl>
    <w:p>
      <w:pPr>
        <w:spacing w:after="40"/>
      </w:pPr>
    </w:p>
    <w:p>
      <w:pPr>
        <w:spacing w:before="140" w:after="60"/>
      </w:pPr>
      <w:r>
        <w:rPr>
          <w:rFonts w:ascii="Arial" w:hAnsi="Arial"/>
          <w:b/>
          <w:color w:val="153B5B"/>
          <w:sz w:val="28"/>
        </w:rPr>
        <w:t>7. Commercial, Liability and Termination Placeholders</w:t>
      </w:r>
    </w:p>
    <w:tbl>
      <w:tblPr>
        <w:tblStyle w:val="TableGrid"/>
        <w:tblW w:type="auto" w:w="0"/>
        <w:jc w:val="center"/>
        <w:tblLook w:firstColumn="1" w:firstRow="1" w:lastColumn="0" w:lastRow="0" w:noHBand="0" w:noVBand="1" w:val="04A0"/>
      </w:tblPr>
      <w:tblGrid>
        <w:gridCol w:w="5429"/>
        <w:gridCol w:w="5429"/>
      </w:tblGrid>
      <w:tr>
        <w:tc>
          <w:tcPr>
            <w:tcW w:type="dxa" w:w="237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Clause</w:t>
            </w:r>
          </w:p>
        </w:tc>
        <w:tc>
          <w:tcPr>
            <w:tcW w:type="dxa" w:w="856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Commercial/legal placeholder</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Price and payment</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[Define unit rates, mobilisation, standby, waste/laundry, laboratory/access support, payment milestones and retention.]</w:t>
            </w:r>
          </w:p>
        </w:tc>
      </w:tr>
      <w:tr>
        <w:tc>
          <w:tcPr>
            <w:tcW w:type="dxa" w:w="237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Change control</w:t>
            </w:r>
          </w:p>
        </w:tc>
        <w:tc>
          <w:tcPr>
            <w:tcW w:type="dxa" w:w="856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[Define written variation process for authority-directed scope changes, extended standby or additional quarters.]</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Indemnity/liability</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[Legal counsel to define indemnities, limitations, third-party claims, contamination and regulatory fines allocation.]</w:t>
            </w:r>
          </w:p>
        </w:tc>
      </w:tr>
      <w:tr>
        <w:tc>
          <w:tcPr>
            <w:tcW w:type="dxa" w:w="237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Confidentiality/data</w:t>
            </w:r>
          </w:p>
        </w:tc>
        <w:tc>
          <w:tcPr>
            <w:tcW w:type="dxa" w:w="856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[Define handling of case identifiers, site data, images, incident records and authority correspondence.]</w:t>
            </w:r>
          </w:p>
        </w:tc>
      </w:tr>
      <w:tr>
        <w:tc>
          <w:tcPr>
            <w:tcW w:type="dxa" w:w="237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Suspension/termination</w:t>
            </w:r>
          </w:p>
        </w:tc>
        <w:tc>
          <w:tcPr>
            <w:tcW w:type="dxa" w:w="856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Client may suspend or terminate immediately for material HSE/chemical/authority breach, licence lapse, false approval evidence, unsafe work, or failure to stop work. [Complete legal notice and cure terms.]</w:t>
            </w:r>
          </w:p>
        </w:tc>
      </w:tr>
      <w:tr>
        <w:tc>
          <w:tcPr>
            <w:tcW w:type="dxa" w:w="237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Governing law/dispute</w:t>
            </w:r>
          </w:p>
        </w:tc>
        <w:tc>
          <w:tcPr>
            <w:tcW w:type="dxa" w:w="856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[Complete UAE governing law, jurisdiction, dispute resolution and contract-signature blocks.]</w:t>
            </w:r>
          </w:p>
        </w:tc>
      </w:tr>
    </w:tbl>
    <w:p>
      <w:pPr>
        <w:spacing w:after="40"/>
      </w:pPr>
    </w:p>
    <w:p>
      <w:pPr>
        <w:spacing w:before="140" w:after="60"/>
      </w:pPr>
      <w:r>
        <w:rPr>
          <w:rFonts w:ascii="Arial" w:hAnsi="Arial"/>
          <w:b/>
          <w:color w:val="153B5B"/>
          <w:sz w:val="28"/>
        </w:rPr>
        <w:t>8. Contract Schedules</w:t>
      </w:r>
    </w:p>
    <w:tbl>
      <w:tblPr>
        <w:tblStyle w:val="TableGrid"/>
        <w:tblW w:type="auto" w:w="0"/>
        <w:jc w:val="center"/>
        <w:tblLook w:firstColumn="1" w:firstRow="1" w:lastColumn="0" w:lastRow="0" w:noHBand="0" w:noVBand="1" w:val="04A0"/>
      </w:tblPr>
      <w:tblGrid>
        <w:gridCol w:w="5429"/>
        <w:gridCol w:w="5429"/>
      </w:tblGrid>
      <w:tr>
        <w:tc>
          <w:tcPr>
            <w:tcW w:type="dxa" w:w="144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Schedule</w:t>
            </w:r>
          </w:p>
        </w:tc>
        <w:tc>
          <w:tcPr>
            <w:tcW w:type="dxa" w:w="9504"/>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6"/>
              </w:rPr>
              <w:t>Purpose</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A</w:t>
            </w:r>
          </w:p>
        </w:tc>
        <w:tc>
          <w:tcPr>
            <w:tcW w:type="dxa" w:w="95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Detailed scope, area plan and authority direction register.</w:t>
            </w:r>
          </w:p>
        </w:tc>
      </w:tr>
      <w:tr>
        <w:tc>
          <w:tcPr>
            <w:tcW w:type="dxa" w:w="14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B</w:t>
            </w:r>
          </w:p>
        </w:tc>
        <w:tc>
          <w:tcPr>
            <w:tcW w:type="dxa" w:w="95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Vendor pre-qualification and mobilisation checklist.</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w:t>
            </w:r>
          </w:p>
        </w:tc>
        <w:tc>
          <w:tcPr>
            <w:tcW w:type="dxa" w:w="95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Chemical approval register and SDS/TDS pack.</w:t>
            </w:r>
          </w:p>
        </w:tc>
      </w:tr>
      <w:tr>
        <w:tc>
          <w:tcPr>
            <w:tcW w:type="dxa" w:w="14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D</w:t>
            </w:r>
          </w:p>
        </w:tc>
        <w:tc>
          <w:tcPr>
            <w:tcW w:type="dxa" w:w="95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PPE matrix and task-specific MSRA/method statement.</w:t>
            </w:r>
          </w:p>
        </w:tc>
      </w:tr>
      <w:tr>
        <w:tc>
          <w:tcPr>
            <w:tcW w:type="dxa" w:w="144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E</w:t>
            </w:r>
          </w:p>
        </w:tc>
        <w:tc>
          <w:tcPr>
            <w:tcW w:type="dxa" w:w="9504"/>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6"/>
              </w:rPr>
              <w:t>Daily cleaning, waste/laundry and release records.</w:t>
            </w:r>
          </w:p>
        </w:tc>
      </w:tr>
      <w:tr>
        <w:tc>
          <w:tcPr>
            <w:tcW w:type="dxa" w:w="144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F</w:t>
            </w:r>
          </w:p>
        </w:tc>
        <w:tc>
          <w:tcPr>
            <w:tcW w:type="dxa" w:w="9504"/>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6"/>
              </w:rPr>
              <w:t>Rates, insurance certificates and approved personnel/equipment list.</w:t>
            </w:r>
          </w:p>
        </w:tc>
      </w:tr>
    </w:tbl>
    <w:p>
      <w:pPr>
        <w:spacing w:after="40"/>
      </w:pPr>
    </w:p>
    <w:p>
      <w:pPr>
        <w:spacing w:before="140" w:after="60"/>
      </w:pPr>
      <w:r>
        <w:rPr>
          <w:rFonts w:ascii="Arial" w:hAnsi="Arial"/>
          <w:b/>
          <w:color w:val="153B5B"/>
          <w:sz w:val="28"/>
        </w:rPr>
        <w:t>9. Source Register</w:t>
      </w:r>
    </w:p>
    <w:tbl>
      <w:tblPr>
        <w:tblStyle w:val="TableGrid"/>
        <w:tblW w:type="auto" w:w="0"/>
        <w:jc w:val="center"/>
        <w:tblLook w:firstColumn="1" w:firstRow="1" w:lastColumn="0" w:lastRow="0" w:noHBand="0" w:noVBand="1" w:val="04A0"/>
      </w:tblPr>
      <w:tblGrid>
        <w:gridCol w:w="3619"/>
        <w:gridCol w:w="3619"/>
        <w:gridCol w:w="3619"/>
      </w:tblGrid>
      <w:tr>
        <w:tc>
          <w:tcPr>
            <w:tcW w:type="dxa" w:w="720"/>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Ref.</w:t>
            </w:r>
          </w:p>
        </w:tc>
        <w:tc>
          <w:tcPr>
            <w:tcW w:type="dxa" w:w="5328"/>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Requirement</w:t>
            </w:r>
          </w:p>
        </w:tc>
        <w:tc>
          <w:tcPr>
            <w:tcW w:type="dxa" w:w="4896"/>
            <w:shd w:fill="153B5B"/>
            <w:vAlign w:val="center"/>
            <w:tcBorders>
              <w:top w:val="single" w:sz="4" w:color="9EADBA"/>
              <w:left w:val="single" w:sz="4" w:color="9EADBA"/>
              <w:bottom w:val="single" w:sz="4" w:color="9EADBA"/>
              <w:right w:val="single" w:sz="4" w:color="9EADBA"/>
            </w:tcBorders>
          </w:tcPr>
          <w:p>
            <w:pPr>
              <w:spacing w:after="0"/>
            </w:pPr>
            <w:r/>
            <w:r>
              <w:rPr>
                <w:rFonts w:ascii="Arial" w:hAnsi="Arial"/>
                <w:b/>
                <w:color w:val="FFFFFF"/>
                <w:sz w:val="14"/>
              </w:rPr>
              <w:t>Source</w:t>
            </w:r>
          </w:p>
        </w:tc>
      </w:tr>
      <w:tr>
        <w:tc>
          <w:tcPr>
            <w:tcW w:type="dxa" w:w="7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[1]</w:t>
            </w:r>
          </w:p>
        </w:tc>
        <w:tc>
          <w:tcPr>
            <w:tcW w:type="dxa" w:w="53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Employer/worker OHS duties, PPE provision, training and evaluation.</w:t>
            </w:r>
          </w:p>
        </w:tc>
        <w:tc>
          <w:tcPr>
            <w:tcW w:type="dxa" w:w="48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https://u.ae/en/information-and-services/jobs/Workplace-regulations/health-and-safety-at-workplace</w:t>
            </w:r>
          </w:p>
        </w:tc>
      </w:tr>
      <w:tr>
        <w:tc>
          <w:tcPr>
            <w:tcW w:type="dxa" w:w="72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[2]</w:t>
            </w:r>
          </w:p>
        </w:tc>
        <w:tc>
          <w:tcPr>
            <w:tcW w:type="dxa" w:w="53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UAE employment/OHS framework.</w:t>
            </w:r>
          </w:p>
        </w:tc>
        <w:tc>
          <w:tcPr>
            <w:tcW w:type="dxa" w:w="489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https://uaelegislation.gov.ae/en/legislations/1541</w:t>
            </w:r>
          </w:p>
        </w:tc>
      </w:tr>
      <w:tr>
        <w:tc>
          <w:tcPr>
            <w:tcW w:type="dxa" w:w="7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[3]</w:t>
            </w:r>
          </w:p>
        </w:tc>
        <w:tc>
          <w:tcPr>
            <w:tcW w:type="dxa" w:w="53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Dubai approved professional biocides and cleaning/disinfection company lists.</w:t>
            </w:r>
          </w:p>
        </w:tc>
        <w:tc>
          <w:tcPr>
            <w:tcW w:type="dxa" w:w="48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https://www.dm.gov.ae/municipality-business/health-safety-approved-list/</w:t>
            </w:r>
          </w:p>
        </w:tc>
      </w:tr>
      <w:tr>
        <w:tc>
          <w:tcPr>
            <w:tcW w:type="dxa" w:w="720"/>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[4]</w:t>
            </w:r>
          </w:p>
        </w:tc>
        <w:tc>
          <w:tcPr>
            <w:tcW w:type="dxa" w:w="5328"/>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Communicable disease authority directions and quarantine control.</w:t>
            </w:r>
          </w:p>
        </w:tc>
        <w:tc>
          <w:tcPr>
            <w:tcW w:type="dxa" w:w="4896"/>
            <w:vAlign w:val="center"/>
            <w:tcBorders>
              <w:top w:val="single" w:sz="4" w:color="9EADBA"/>
              <w:left w:val="single" w:sz="4" w:color="9EADBA"/>
              <w:bottom w:val="single" w:sz="4" w:color="9EADBA"/>
              <w:right w:val="single" w:sz="4" w:color="9EADBA"/>
            </w:tcBorders>
            <w:shd w:fill="F7FAFC"/>
          </w:tcPr>
          <w:p>
            <w:pPr>
              <w:spacing w:after="0"/>
            </w:pPr>
            <w:r/>
            <w:r>
              <w:rPr>
                <w:rFonts w:ascii="Arial" w:hAnsi="Arial"/>
                <w:b w:val="0"/>
                <w:color w:val="000000"/>
                <w:sz w:val="14"/>
              </w:rPr>
              <w:t>https://uaelegislation.gov.ae/en/legislations/1198</w:t>
            </w:r>
          </w:p>
        </w:tc>
      </w:tr>
      <w:tr>
        <w:tc>
          <w:tcPr>
            <w:tcW w:type="dxa" w:w="720"/>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[5]</w:t>
            </w:r>
          </w:p>
        </w:tc>
        <w:tc>
          <w:tcPr>
            <w:tcW w:type="dxa" w:w="5328"/>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Executive Regulations quarantine conditions.</w:t>
            </w:r>
          </w:p>
        </w:tc>
        <w:tc>
          <w:tcPr>
            <w:tcW w:type="dxa" w:w="4896"/>
            <w:vAlign w:val="center"/>
            <w:tcBorders>
              <w:top w:val="single" w:sz="4" w:color="9EADBA"/>
              <w:left w:val="single" w:sz="4" w:color="9EADBA"/>
              <w:bottom w:val="single" w:sz="4" w:color="9EADBA"/>
              <w:right w:val="single" w:sz="4" w:color="9EADBA"/>
            </w:tcBorders>
          </w:tcPr>
          <w:p>
            <w:pPr>
              <w:spacing w:after="0"/>
            </w:pPr>
            <w:r/>
            <w:r>
              <w:rPr>
                <w:rFonts w:ascii="Arial" w:hAnsi="Arial"/>
                <w:b w:val="0"/>
                <w:color w:val="000000"/>
                <w:sz w:val="14"/>
              </w:rPr>
              <w:t>https://uaelegislation.gov.ae/en/legislations/1197</w:t>
            </w:r>
          </w:p>
        </w:tc>
      </w:tr>
    </w:tbl>
    <w:p>
      <w:pPr>
        <w:spacing w:after="40"/>
      </w:pPr>
    </w:p>
    <w:tbl>
      <w:tblPr>
        <w:tblW w:type="auto" w:w="0"/>
        <w:tblLook w:firstColumn="1" w:firstRow="1" w:lastColumn="0" w:lastRow="0" w:noHBand="0" w:noVBand="1" w:val="04A0"/>
      </w:tblPr>
      <w:tblGrid>
        <w:gridCol w:w="10858"/>
      </w:tblGrid>
      <w:tr>
        <w:tc>
          <w:tcPr>
            <w:tcW w:type="dxa" w:w="10858"/>
            <w:shd w:fill="FCE4D6"/>
            <w:tcBorders>
              <w:top w:val="single" w:sz="4" w:color="B7B7B7"/>
              <w:left w:val="single" w:sz="4" w:color="B7B7B7"/>
              <w:bottom w:val="single" w:sz="4" w:color="B7B7B7"/>
              <w:right w:val="single" w:sz="4" w:color="B7B7B7"/>
            </w:tcBorders>
          </w:tcPr>
          <w:p>
            <w:pPr>
              <w:spacing w:after="0"/>
            </w:pPr>
            <w:r/>
            <w:r>
              <w:rPr>
                <w:rFonts w:ascii="Arial" w:hAnsi="Arial"/>
                <w:b/>
                <w:sz w:val="16"/>
              </w:rPr>
              <w:t xml:space="preserve">Execution checklist: </w:t>
            </w:r>
            <w:r>
              <w:rPr>
                <w:rFonts w:ascii="Arial" w:hAnsi="Arial"/>
                <w:sz w:val="16"/>
              </w:rPr>
              <w:t>Before signing, fill all commercial/legal fields; verify current local authority service/biocide lists; attach insurance/licence documents; approve MSRA/method statement; populate emergency contacts; and obtain signatures from Procurement, HSE, Food Safety, Camp Management and legal counsel.</w:t>
            </w:r>
          </w:p>
        </w:tc>
      </w:tr>
    </w:tbl>
    <w:sectPr w:rsidR="00FC693F" w:rsidRPr="0006063C" w:rsidSect="00034616">
      <w:headerReference w:type="default" r:id="rId9"/>
      <w:footerReference w:type="default" r:id="rId10"/>
      <w:pgSz w:w="12240" w:h="15840"/>
      <w:pgMar w:top="691"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4"/>
      </w:rPr>
      <w:t xml:space="preserve">Deep-cleaning contractor agreement | Draft — legal and HSE review before execution | Page </w:t>
    </w:r>
    <w:fldChar w:fldCharType="begin"/>
    <w:instrText xml:space="preserve">PAGE</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5256"/>
      <w:gridCol w:w="5256"/>
    </w:tblGrid>
    <w:tr>
      <w:tc>
        <w:tcPr>
          <w:tcW w:type="dxa" w:w="5256"/>
          <w:shd w:fill="153B5B"/>
          <w:vAlign w:val="center"/>
        </w:tcPr>
        <w:p>
          <w:pPr>
            <w:spacing w:after="0"/>
          </w:pPr>
          <w:r/>
          <w:r>
            <w:rPr>
              <w:rFonts w:ascii="Arial" w:hAnsi="Arial"/>
              <w:b/>
              <w:color w:val="FFFFFF"/>
              <w:sz w:val="14"/>
            </w:rPr>
            <w:t>REMOTE CAMP — DEEP-CLEANING CONTRACTOR CONTROL</w:t>
          </w:r>
        </w:p>
      </w:tc>
      <w:tc>
        <w:tcPr>
          <w:tcW w:type="dxa" w:w="5256"/>
          <w:shd w:fill="008C95"/>
          <w:vAlign w:val="center"/>
        </w:tcPr>
        <w:p>
          <w:pPr>
            <w:spacing w:after="0"/>
          </w:pPr>
          <w:r/>
          <w:r>
            <w:rPr>
              <w:rFonts w:ascii="Arial" w:hAnsi="Arial"/>
              <w:b/>
              <w:color w:val="FFFFFF"/>
              <w:sz w:val="14"/>
            </w:rPr>
            <w:t>INTERMASS — DRAFT FOR REVIEW</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