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Style w:val="MdHeading1"/>
      </w:pPr>
      <w:r>
        <w:t xml:space="preserve">Multi-Casualty Lower-Basement Medical Response, Evacuation and SIMOPS Enforcement Matrix</w:t>
      </w:r>
    </w:p>
    <w:p>
      <w:pPr>
        <w:pStyle w:val="MdBlockquote"/>
      </w:pPr>
      <w:r>
        <w:rPr>
          <w:rStyle w:val="MdStrong"/>
          <w:b/>
          <w:bCs/>
        </w:rPr>
        <w:t xml:space="preserve">Compliance note:</w:t>
      </w:r>
      <w:r>
        <w:t xml:space="preserve"> This is a project-adaptation draft, not a substitute for emergency-services instruction, the approved construction emergency plan, fire/life-safety design, or contract/legal review. Project-specific access dimensions, casualty capacity, rescue equipment, medical staffing, evacuation routes and contractual deductions must be approved before use.</w:t>
      </w:r>
    </w:p>
    <w:p>
      <w:pPr>
        <w:pStyle w:val="MdSpace"/>
        <w:spacing w:before="0" w:after="60"/>
      </w:pPr>
    </w:p>
    <w:p>
      <w:pPr>
        <w:pStyle w:val="Heading2"/>
        <w:pStyle w:val="MdHeading2"/>
      </w:pPr>
      <w:r>
        <w:t xml:space="preserve">1. Scope and operating rule</w:t>
      </w:r>
    </w:p>
    <w:p>
      <w:pPr>
        <w:pStyle w:val="MdParagraph"/>
      </w:pPr>
      <w:r>
        <w:t xml:space="preserve">This procedure applies when a structural collapse, crane incident, falling-object event, formwork failure, uncontrolled load, excavation support movement, fire, flooding or related event produces </w:t>
      </w:r>
      <w:r>
        <w:rPr>
          <w:rStyle w:val="MdStrong"/>
          <w:b/>
          <w:bCs/>
        </w:rPr>
        <w:t xml:space="preserve">multiple actual or potential casualties</w:t>
      </w:r>
      <w:r>
        <w:t xml:space="preserve"> in a congested lower-basement workface.</w:t>
      </w:r>
    </w:p>
    <w:p>
      <w:pPr>
        <w:pStyle w:val="MdSpace"/>
        <w:spacing w:before="0" w:after="60"/>
      </w:pPr>
    </w:p>
    <w:p>
      <w:pPr>
        <w:pStyle w:val="MdParagraph"/>
      </w:pPr>
      <w:r>
        <w:t xml:space="preserve">The first priority is to prevent a second casualty event. The site must therefore apply the following sequence:</w:t>
      </w:r>
    </w:p>
    <w:p>
      <w:pPr>
        <w:pStyle w:val="MdSpace"/>
        <w:spacing w:before="0" w:after="60"/>
      </w:pPr>
    </w:p>
    <w:p>
      <w:pPr>
        <w:pStyle w:val="MdBlockquote"/>
      </w:pPr>
      <w:r>
        <w:rPr>
          <w:rStyle w:val="MdStrong"/>
          <w:b/>
          <w:bCs/>
        </w:rPr>
        <w:t xml:space="preserve">Raise alarm → stop and isolate → account for people → make the scene safe → establish incident command → triage and treat → extract through protected routes → hand over to emergency services → preserve the scene → revalidate before restart.</w:t>
      </w:r>
    </w:p>
    <w:p>
      <w:pPr>
        <w:pStyle w:val="MdSpace"/>
        <w:spacing w:before="0" w:after="60"/>
      </w:pPr>
    </w:p>
    <w:p>
      <w:pPr>
        <w:pStyle w:val="MdParagraph"/>
      </w:pPr>
      <w:r>
        <w:t xml:space="preserve">No person may enter a collapse, unstable formwork, suspended-load, damaged-crane or compromised-shoring area to attempt an improvised rescue. Entry is permitted only where the Incident Controller and competent rescue lead have confirmed that the route is safe, or under the direction of responding emergency services. Workers must never use crane hooks, slings, formwork, rebar cages, temporary shoring or unapproved lifting equipment to move casualties.</w:t>
      </w:r>
    </w:p>
    <w:p>
      <w:pPr>
        <w:pStyle w:val="MdSpace"/>
        <w:spacing w:before="0" w:after="60"/>
      </w:pPr>
    </w:p>
    <w:p>
      <w:pPr>
        <w:pStyle w:val="Heading2"/>
        <w:pStyle w:val="MdHeading2"/>
      </w:pPr>
      <w:r>
        <w:t xml:space="preserve">2. Pre-incident readiness gate</w:t>
      </w:r>
    </w:p>
    <w:p>
      <w:pPr>
        <w:pStyle w:val="MdParagraph"/>
      </w:pPr>
      <w:r>
        <w:t xml:space="preserve">The Principal Contractor must maintain a live </w:t>
      </w:r>
      <w:r>
        <w:rPr>
          <w:rStyle w:val="MdStrong"/>
          <w:b/>
          <w:bCs/>
        </w:rPr>
        <w:t xml:space="preserve">Lower-Basement Emergency Readiness Plan</w:t>
      </w:r>
      <w:r>
        <w:t xml:space="preserve"> for every active basement level. ADPHC CoP 46.0 requires safe underground access and egress, rapid-capable first-aid provision, accessible stretchers, arrangements to remove injured workers and allow ambulances to reach access points quickly, evacuation arrangements, rescue capability and local emergency-service communications. Where normal access depends on mechanical plant, a readily available secondary means of egress is required. </w:t>
      </w:r>
      <w:hyperlink w:history="1" r:id="rId5nuflvlsvyty1vrzszew1">
        <w:r>
          <w:rPr>
            <w:rStyle w:val="MdLink"/>
          </w:rPr>
          <w:t xml:space="preserve">1</w:t>
        </w:r>
      </w:hyperlink>
    </w:p>
    <w:p>
      <w:pPr>
        <w:pStyle w:val="MdSpace"/>
        <w:spacing w:before="0" w:after="60"/>
      </w:pP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t xml:space="preserve">Readiness element</w:t>
            </w:r>
          </w:p>
        </w:tc>
        <w:tc>
          <w:tcPr>
            <w:tcMar>
              <w:top w:type="dxa" w:w="100"/>
              <w:left w:type="dxa" w:w="120"/>
              <w:bottom w:type="dxa" w:w="100"/>
              <w:right w:type="dxa" w:w="120"/>
            </w:tcMar>
            <w:vAlign w:val="center"/>
          </w:tcPr>
          <w:p>
            <w:pPr>
              <w:pStyle w:val="MdTableHeader"/>
            </w:pPr>
            <w:r>
              <w:t xml:space="preserve">Mandatory project control</w:t>
            </w:r>
          </w:p>
        </w:tc>
        <w:tc>
          <w:tcPr>
            <w:tcBorders>
              <w:right w:val="none"/>
            </w:tcBorders>
            <w:tcMar>
              <w:top w:type="dxa" w:w="100"/>
              <w:left w:type="dxa" w:w="120"/>
              <w:bottom w:type="dxa" w:w="100"/>
              <w:right w:type="dxa" w:w="120"/>
            </w:tcMar>
            <w:vAlign w:val="center"/>
          </w:tcPr>
          <w:p>
            <w:pPr>
              <w:pStyle w:val="MdTableHeader"/>
            </w:pPr>
            <w:r>
              <w:t xml:space="preserve">Verification evidence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Incident command</w:t>
            </w:r>
          </w:p>
        </w:tc>
        <w:tc>
          <w:tcPr>
            <w:tcMar>
              <w:top w:type="dxa" w:w="80"/>
              <w:left w:type="dxa" w:w="120"/>
              <w:bottom w:type="dxa" w:w="80"/>
              <w:right w:type="dxa" w:w="120"/>
            </w:tcMar>
            <w:vAlign w:val="center"/>
          </w:tcPr>
          <w:p>
            <w:pPr>
              <w:pStyle w:val="MdTableCell"/>
            </w:pPr>
            <w:r>
              <w:t xml:space="preserve">Designate an Incident Controller, Deputy, Rescue/Medical Lead, Lifting Isolation Lead, Access &amp; Traffic Marshal, Headcount Lead, Communications Lead and Logistics/records lead for every shift.</w:t>
            </w:r>
          </w:p>
        </w:tc>
        <w:tc>
          <w:tcPr>
            <w:tcBorders>
              <w:right w:val="none"/>
            </w:tcBorders>
            <w:tcMar>
              <w:top w:type="dxa" w:w="80"/>
              <w:left w:type="dxa" w:w="120"/>
              <w:bottom w:type="dxa" w:w="80"/>
              <w:right w:type="dxa" w:w="120"/>
            </w:tcMar>
            <w:vAlign w:val="center"/>
          </w:tcPr>
          <w:p>
            <w:pPr>
              <w:pStyle w:val="MdTableCell"/>
            </w:pPr>
            <w:r>
              <w:t xml:space="preserve">Shift board, duty roster, radio call signs and nominated alternates.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Route architecture</w:t>
            </w:r>
          </w:p>
        </w:tc>
        <w:tc>
          <w:tcPr>
            <w:tcMar>
              <w:top w:type="dxa" w:w="80"/>
              <w:left w:type="dxa" w:w="120"/>
              <w:bottom w:type="dxa" w:w="80"/>
              <w:right w:type="dxa" w:w="120"/>
            </w:tcMar>
            <w:vAlign w:val="center"/>
          </w:tcPr>
          <w:p>
            <w:pPr>
              <w:pStyle w:val="MdTableCell"/>
            </w:pPr>
            <w:r>
              <w:t xml:space="preserve">Maintain a primary protected egress route and a separately viable alternative route. The alternative must not depend on the same crane, hoist, staircase, ramp, temporary power source or access opening as the primary route.</w:t>
            </w:r>
          </w:p>
        </w:tc>
        <w:tc>
          <w:tcPr>
            <w:tcBorders>
              <w:right w:val="none"/>
            </w:tcBorders>
            <w:tcMar>
              <w:top w:type="dxa" w:w="80"/>
              <w:left w:type="dxa" w:w="120"/>
              <w:bottom w:type="dxa" w:w="80"/>
              <w:right w:type="dxa" w:w="120"/>
            </w:tcMar>
            <w:vAlign w:val="center"/>
          </w:tcPr>
          <w:p>
            <w:pPr>
              <w:pStyle w:val="MdTableCell"/>
            </w:pPr>
            <w:r>
              <w:t xml:space="preserve">Level plan showing primary/secondary routes, access points, casualty collection point and ambulance interface.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Protected casualty path</w:t>
            </w:r>
          </w:p>
        </w:tc>
        <w:tc>
          <w:tcPr>
            <w:tcMar>
              <w:top w:type="dxa" w:w="80"/>
              <w:left w:type="dxa" w:w="120"/>
              <w:bottom w:type="dxa" w:w="80"/>
              <w:right w:type="dxa" w:w="120"/>
            </w:tcMar>
            <w:vAlign w:val="center"/>
          </w:tcPr>
          <w:p>
            <w:pPr>
              <w:pStyle w:val="MdTableCell"/>
            </w:pPr>
            <w:r>
              <w:t xml:space="preserve">Identify a clear route from each workface to a casualty collection point and then to the ambulance transfer point. The route must remain outside lift/fall zones, concrete-pump hose zones, material laydown and active plant routes.</w:t>
            </w:r>
          </w:p>
        </w:tc>
        <w:tc>
          <w:tcPr>
            <w:tcBorders>
              <w:right w:val="none"/>
            </w:tcBorders>
            <w:tcMar>
              <w:top w:type="dxa" w:w="80"/>
              <w:left w:type="dxa" w:w="120"/>
              <w:bottom w:type="dxa" w:w="80"/>
              <w:right w:type="dxa" w:w="120"/>
            </w:tcMar>
            <w:vAlign w:val="center"/>
          </w:tcPr>
          <w:p>
            <w:pPr>
              <w:pStyle w:val="MdTableCell"/>
            </w:pPr>
            <w:r>
              <w:t xml:space="preserve">Daily route-walk record; physical barriers; route signs; housekeeping record.</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Medical capability</w:t>
            </w:r>
          </w:p>
        </w:tc>
        <w:tc>
          <w:tcPr>
            <w:tcMar>
              <w:top w:type="dxa" w:w="80"/>
              <w:left w:type="dxa" w:w="120"/>
              <w:bottom w:type="dxa" w:w="80"/>
              <w:right w:type="dxa" w:w="120"/>
            </w:tcMar>
            <w:vAlign w:val="center"/>
          </w:tcPr>
          <w:p>
            <w:pPr>
              <w:pStyle w:val="MdTableCell"/>
            </w:pPr>
            <w:r>
              <w:t xml:space="preserve">Provide trained first-aiders able to respond rapidly, accessible first-aid equipment and stretchers protected from dirt/damp, and a trauma/medical response capability sized by the emergency assessment.</w:t>
            </w:r>
          </w:p>
        </w:tc>
        <w:tc>
          <w:tcPr>
            <w:tcBorders>
              <w:right w:val="none"/>
            </w:tcBorders>
            <w:tcMar>
              <w:top w:type="dxa" w:w="80"/>
              <w:left w:type="dxa" w:w="120"/>
              <w:bottom w:type="dxa" w:w="80"/>
              <w:right w:type="dxa" w:w="120"/>
            </w:tcMar>
            <w:vAlign w:val="center"/>
          </w:tcPr>
          <w:p>
            <w:pPr>
              <w:pStyle w:val="MdTableCell"/>
            </w:pPr>
            <w:r>
              <w:t xml:space="preserve">Equipment inventory; inspection tag; first-aid training evidence; response drill.</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Emergency-service interface</w:t>
            </w:r>
          </w:p>
        </w:tc>
        <w:tc>
          <w:tcPr>
            <w:tcMar>
              <w:top w:type="dxa" w:w="80"/>
              <w:left w:type="dxa" w:w="120"/>
              <w:bottom w:type="dxa" w:w="80"/>
              <w:right w:type="dxa" w:w="120"/>
            </w:tcMar>
            <w:vAlign w:val="center"/>
          </w:tcPr>
          <w:p>
            <w:pPr>
              <w:pStyle w:val="MdTableCell"/>
            </w:pPr>
            <w:r>
              <w:t xml:space="preserve">Pre-agree site entrance, ambulance route, basement access, lift/shaft/stair transfer method and rendezvous point with local emergency arrangements. Maintain bilingual address, grid/level plan and key contacts at security and the incident-control point.</w:t>
            </w:r>
          </w:p>
        </w:tc>
        <w:tc>
          <w:tcPr>
            <w:tcBorders>
              <w:right w:val="none"/>
            </w:tcBorders>
            <w:tcMar>
              <w:top w:type="dxa" w:w="80"/>
              <w:left w:type="dxa" w:w="120"/>
              <w:bottom w:type="dxa" w:w="80"/>
              <w:right w:type="dxa" w:w="120"/>
            </w:tcMar>
            <w:vAlign w:val="center"/>
          </w:tcPr>
          <w:p>
            <w:pPr>
              <w:pStyle w:val="MdTableCell"/>
            </w:pPr>
            <w:r>
              <w:t xml:space="preserve">Emergency contact card; access drawing; gate briefing; drill record.</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Rescue equipment</w:t>
            </w:r>
          </w:p>
        </w:tc>
        <w:tc>
          <w:tcPr>
            <w:tcMar>
              <w:top w:type="dxa" w:w="80"/>
              <w:left w:type="dxa" w:w="120"/>
              <w:bottom w:type="dxa" w:w="80"/>
              <w:right w:type="dxa" w:w="120"/>
            </w:tcMar>
            <w:vAlign w:val="center"/>
          </w:tcPr>
          <w:p>
            <w:pPr>
              <w:pStyle w:val="MdTableCell"/>
            </w:pPr>
            <w:r>
              <w:t xml:space="preserve">Stage only equipment appropriate to the approved rescue plan: stretchers, trauma kits, rescue boards/blankets, emergency lighting, portable communications, fire extinguishers, water-control equipment and barriers.</w:t>
            </w:r>
          </w:p>
        </w:tc>
        <w:tc>
          <w:tcPr>
            <w:tcBorders>
              <w:right w:val="none"/>
            </w:tcBorders>
            <w:tcMar>
              <w:top w:type="dxa" w:w="80"/>
              <w:left w:type="dxa" w:w="120"/>
              <w:bottom w:type="dxa" w:w="80"/>
              <w:right w:type="dxa" w:w="120"/>
            </w:tcMar>
            <w:vAlign w:val="center"/>
          </w:tcPr>
          <w:p>
            <w:pPr>
              <w:pStyle w:val="MdTableCell"/>
            </w:pPr>
            <w:r>
              <w:t xml:space="preserve">Pre-shift equipment inspection and location plan.</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Lifting and energy isolation</w:t>
            </w:r>
          </w:p>
        </w:tc>
        <w:tc>
          <w:tcPr>
            <w:tcMar>
              <w:top w:type="dxa" w:w="80"/>
              <w:left w:type="dxa" w:w="120"/>
              <w:bottom w:type="dxa" w:w="80"/>
              <w:right w:type="dxa" w:w="120"/>
            </w:tcMar>
            <w:vAlign w:val="center"/>
          </w:tcPr>
          <w:p>
            <w:pPr>
              <w:pStyle w:val="MdTableCell"/>
            </w:pPr>
            <w:r>
              <w:t xml:space="preserve">Provide a clearly marked emergency-stop method for crane/lifting, concrete pump, mobile plant, temporary power and dewatering where their continued operation can create secondary hazards.</w:t>
            </w:r>
          </w:p>
        </w:tc>
        <w:tc>
          <w:tcPr>
            <w:tcBorders>
              <w:right w:val="none"/>
            </w:tcBorders>
            <w:tcMar>
              <w:top w:type="dxa" w:w="80"/>
              <w:left w:type="dxa" w:w="120"/>
              <w:bottom w:type="dxa" w:w="80"/>
              <w:right w:type="dxa" w:w="120"/>
            </w:tcMar>
            <w:vAlign w:val="center"/>
          </w:tcPr>
          <w:p>
            <w:pPr>
              <w:pStyle w:val="MdTableCell"/>
            </w:pPr>
            <w:r>
              <w:t xml:space="preserve">Isolation schedule; LOTO/plant isolation map; operator confirmation.</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Collapse rescue limitation</w:t>
            </w:r>
          </w:p>
        </w:tc>
        <w:tc>
          <w:tcPr>
            <w:tcMar>
              <w:top w:type="dxa" w:w="80"/>
              <w:left w:type="dxa" w:w="120"/>
              <w:bottom w:type="dxa" w:w="80"/>
              <w:right w:type="dxa" w:w="120"/>
            </w:tcMar>
            <w:vAlign w:val="center"/>
          </w:tcPr>
          <w:p>
            <w:pPr>
              <w:pStyle w:val="MdTableCell"/>
            </w:pPr>
            <w:r>
              <w:t xml:space="preserve">Define the no-entry boundary and emergency-service handover protocol. The site rescue team delivers only the rescue capability for which it is trained and equipped; technical collapsed-structure rescue is not improvised.</w:t>
            </w:r>
          </w:p>
        </w:tc>
        <w:tc>
          <w:tcPr>
            <w:tcBorders>
              <w:right w:val="none"/>
            </w:tcBorders>
            <w:tcMar>
              <w:top w:type="dxa" w:w="80"/>
              <w:left w:type="dxa" w:w="120"/>
              <w:bottom w:type="dxa" w:w="80"/>
              <w:right w:type="dxa" w:w="120"/>
            </w:tcMar>
            <w:vAlign w:val="center"/>
          </w:tcPr>
          <w:p>
            <w:pPr>
              <w:pStyle w:val="MdTableCell"/>
            </w:pPr>
            <w:r>
              <w:t xml:space="preserve">Rescue plan, capability statement, scenario drill and emergency-service contact record.</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rPr>
                <w:rStyle w:val="MdStrong"/>
                <w:b/>
                <w:bCs/>
              </w:rPr>
              <w:t xml:space="preserve">Information control</w:t>
            </w:r>
          </w:p>
        </w:tc>
        <w:tc>
          <w:tcPr>
            <w:tcBorders>
              <w:bottom w:val="single" w:color="E1E4E8" w:sz="4"/>
            </w:tcBorders>
            <w:tcMar>
              <w:top w:type="dxa" w:w="80"/>
              <w:left w:type="dxa" w:w="120"/>
              <w:bottom w:type="dxa" w:w="80"/>
              <w:right w:type="dxa" w:w="120"/>
            </w:tcMar>
            <w:vAlign w:val="center"/>
          </w:tcPr>
          <w:p>
            <w:pPr>
              <w:pStyle w:val="MdTableCell"/>
            </w:pPr>
            <w:r>
              <w:t xml:space="preserve">Keep current access/egress drawings, headcount, permit register, lift plan, temporary-works drawings, monitoring status, dewatering status and MSRA at the incident command point.</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Controlled document folder and shift handover record.</w:t>
            </w:r>
          </w:p>
        </w:tc>
      </w:tr>
    </w:tbl>
    <w:p>
      <w:pPr>
        <w:pStyle w:val="Heading2"/>
        <w:pStyle w:val="MdHeading2"/>
      </w:pPr>
      <w:r>
        <w:t xml:space="preserve">3. Emergency alarm, immediate stabilisation and scene zoning</w:t>
      </w: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t xml:space="preserve">Time window</w:t>
            </w:r>
          </w:p>
        </w:tc>
        <w:tc>
          <w:tcPr>
            <w:tcMar>
              <w:top w:type="dxa" w:w="100"/>
              <w:left w:type="dxa" w:w="120"/>
              <w:bottom w:type="dxa" w:w="100"/>
              <w:right w:type="dxa" w:w="120"/>
            </w:tcMar>
            <w:vAlign w:val="center"/>
          </w:tcPr>
          <w:p>
            <w:pPr>
              <w:pStyle w:val="MdTableHeader"/>
            </w:pPr>
            <w:r>
              <w:t xml:space="preserve">Required action</w:t>
            </w:r>
          </w:p>
        </w:tc>
        <w:tc>
          <w:tcPr>
            <w:tcMar>
              <w:top w:type="dxa" w:w="100"/>
              <w:left w:type="dxa" w:w="120"/>
              <w:bottom w:type="dxa" w:w="100"/>
              <w:right w:type="dxa" w:w="120"/>
            </w:tcMar>
            <w:vAlign w:val="center"/>
          </w:tcPr>
          <w:p>
            <w:pPr>
              <w:pStyle w:val="MdTableHeader"/>
            </w:pPr>
            <w:r>
              <w:t xml:space="preserve">Accountable role</w:t>
            </w:r>
          </w:p>
        </w:tc>
        <w:tc>
          <w:tcPr>
            <w:tcBorders>
              <w:right w:val="none"/>
            </w:tcBorders>
            <w:tcMar>
              <w:top w:type="dxa" w:w="100"/>
              <w:left w:type="dxa" w:w="120"/>
              <w:bottom w:type="dxa" w:w="100"/>
              <w:right w:type="dxa" w:w="120"/>
            </w:tcMar>
            <w:vAlign w:val="center"/>
          </w:tcPr>
          <w:p>
            <w:pPr>
              <w:pStyle w:val="MdTableHeader"/>
            </w:pPr>
            <w:r>
              <w:t xml:space="preserve">Critical prohibition</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0–2 minutes</w:t>
            </w:r>
          </w:p>
        </w:tc>
        <w:tc>
          <w:tcPr>
            <w:tcMar>
              <w:top w:type="dxa" w:w="80"/>
              <w:left w:type="dxa" w:w="120"/>
              <w:bottom w:type="dxa" w:w="80"/>
              <w:right w:type="dxa" w:w="120"/>
            </w:tcMar>
            <w:vAlign w:val="center"/>
          </w:tcPr>
          <w:p>
            <w:pPr>
              <w:pStyle w:val="MdTableCell"/>
            </w:pPr>
            <w:r>
              <w:t xml:space="preserve">Activate the site alarm and emergency call. Issue </w:t>
            </w:r>
            <w:r>
              <w:rPr>
                <w:rStyle w:val="MdStrong"/>
                <w:b/>
                <w:bCs/>
              </w:rPr>
              <w:t xml:space="preserve">all stop</w:t>
            </w:r>
            <w:r>
              <w:t xml:space="preserve"> for crane lifting, concrete pumping, earthmoving, delivery movements and non-essential temporary power. Stop work at adjacent levels where debris, load travel, vibration or structural transfer can affect the incident zone.</w:t>
            </w:r>
          </w:p>
        </w:tc>
        <w:tc>
          <w:tcPr>
            <w:tcMar>
              <w:top w:type="dxa" w:w="80"/>
              <w:left w:type="dxa" w:w="120"/>
              <w:bottom w:type="dxa" w:w="80"/>
              <w:right w:type="dxa" w:w="120"/>
            </w:tcMar>
            <w:vAlign w:val="center"/>
          </w:tcPr>
          <w:p>
            <w:pPr>
              <w:pStyle w:val="MdTableCell"/>
            </w:pPr>
            <w:r>
              <w:t xml:space="preserve">Incident Controller / first witness / Lifting Supervisor</w:t>
            </w:r>
          </w:p>
        </w:tc>
        <w:tc>
          <w:tcPr>
            <w:tcBorders>
              <w:right w:val="none"/>
            </w:tcBorders>
            <w:tcMar>
              <w:top w:type="dxa" w:w="80"/>
              <w:left w:type="dxa" w:w="120"/>
              <w:bottom w:type="dxa" w:w="80"/>
              <w:right w:type="dxa" w:w="120"/>
            </w:tcMar>
            <w:vAlign w:val="center"/>
          </w:tcPr>
          <w:p>
            <w:pPr>
              <w:pStyle w:val="MdTableCell"/>
            </w:pPr>
            <w:r>
              <w:t xml:space="preserve">Do not allow self-deployed rescuers to enter an unstable, suspended-load or collapse zone.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0–5 minutes</w:t>
            </w:r>
          </w:p>
        </w:tc>
        <w:tc>
          <w:tcPr>
            <w:tcMar>
              <w:top w:type="dxa" w:w="80"/>
              <w:left w:type="dxa" w:w="120"/>
              <w:bottom w:type="dxa" w:w="80"/>
              <w:right w:type="dxa" w:w="120"/>
            </w:tcMar>
            <w:vAlign w:val="center"/>
          </w:tcPr>
          <w:p>
            <w:pPr>
              <w:pStyle w:val="MdTableCell"/>
            </w:pPr>
            <w:r>
              <w:t xml:space="preserve">Call emergency services; give project name, gate, basement level, grid/workface, number of known/missing people, collapse/crane hazards, access limitation and safe emergency-service rendezvous point. Dispatch gate guide and basement route marshal.</w:t>
            </w:r>
          </w:p>
        </w:tc>
        <w:tc>
          <w:tcPr>
            <w:tcMar>
              <w:top w:type="dxa" w:w="80"/>
              <w:left w:type="dxa" w:w="120"/>
              <w:bottom w:type="dxa" w:w="80"/>
              <w:right w:type="dxa" w:w="120"/>
            </w:tcMar>
            <w:vAlign w:val="center"/>
          </w:tcPr>
          <w:p>
            <w:pPr>
              <w:pStyle w:val="MdTableCell"/>
            </w:pPr>
            <w:r>
              <w:t xml:space="preserve">Communications Lead / Security</w:t>
            </w:r>
          </w:p>
        </w:tc>
        <w:tc>
          <w:tcPr>
            <w:tcBorders>
              <w:right w:val="none"/>
            </w:tcBorders>
            <w:tcMar>
              <w:top w:type="dxa" w:w="80"/>
              <w:left w:type="dxa" w:w="120"/>
              <w:bottom w:type="dxa" w:w="80"/>
              <w:right w:type="dxa" w:w="120"/>
            </w:tcMar>
            <w:vAlign w:val="center"/>
          </w:tcPr>
          <w:p>
            <w:pPr>
              <w:pStyle w:val="MdTableCell"/>
            </w:pPr>
            <w:r>
              <w:t xml:space="preserve">Do not wait for injury classification, authority notification or manager approval before calling emergency services.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0–10 minutes</w:t>
            </w:r>
          </w:p>
        </w:tc>
        <w:tc>
          <w:tcPr>
            <w:tcMar>
              <w:top w:type="dxa" w:w="80"/>
              <w:left w:type="dxa" w:w="120"/>
              <w:bottom w:type="dxa" w:w="80"/>
              <w:right w:type="dxa" w:w="120"/>
            </w:tcMar>
            <w:vAlign w:val="center"/>
          </w:tcPr>
          <w:p>
            <w:pPr>
              <w:pStyle w:val="MdTableCell"/>
            </w:pPr>
            <w:r>
              <w:t xml:space="preserve">Establish three zones: </w:t>
            </w:r>
            <w:r>
              <w:rPr>
                <w:rStyle w:val="MdStrong"/>
                <w:b/>
                <w:bCs/>
              </w:rPr>
              <w:t xml:space="preserve">Hot Zone</w:t>
            </w:r>
            <w:r>
              <w:t xml:space="preserve"> (collapse/fall/load risk; emergency-service/rescue only), </w:t>
            </w:r>
            <w:r>
              <w:rPr>
                <w:rStyle w:val="MdStrong"/>
                <w:b/>
                <w:bCs/>
              </w:rPr>
              <w:t xml:space="preserve">Warm Zone</w:t>
            </w:r>
            <w:r>
              <w:t xml:space="preserve"> (triage, decontamination if required, rescue staging) and </w:t>
            </w:r>
            <w:r>
              <w:rPr>
                <w:rStyle w:val="MdStrong"/>
                <w:b/>
                <w:bCs/>
              </w:rPr>
              <w:t xml:space="preserve">Cold Zone</w:t>
            </w:r>
            <w:r>
              <w:t xml:space="preserve"> (incident command, casualty records, family/witness management, logistics).</w:t>
            </w:r>
          </w:p>
        </w:tc>
        <w:tc>
          <w:tcPr>
            <w:tcMar>
              <w:top w:type="dxa" w:w="80"/>
              <w:left w:type="dxa" w:w="120"/>
              <w:bottom w:type="dxa" w:w="80"/>
              <w:right w:type="dxa" w:w="120"/>
            </w:tcMar>
            <w:vAlign w:val="center"/>
          </w:tcPr>
          <w:p>
            <w:pPr>
              <w:pStyle w:val="MdTableCell"/>
            </w:pPr>
            <w:r>
              <w:t xml:space="preserve">Rescue/Medical Lead with Incident Controller</w:t>
            </w:r>
          </w:p>
        </w:tc>
        <w:tc>
          <w:tcPr>
            <w:tcBorders>
              <w:right w:val="none"/>
            </w:tcBorders>
            <w:tcMar>
              <w:top w:type="dxa" w:w="80"/>
              <w:left w:type="dxa" w:w="120"/>
              <w:bottom w:type="dxa" w:w="80"/>
              <w:right w:type="dxa" w:w="120"/>
            </w:tcMar>
            <w:vAlign w:val="center"/>
          </w:tcPr>
          <w:p>
            <w:pPr>
              <w:pStyle w:val="MdTableCell"/>
            </w:pPr>
            <w:r>
              <w:t xml:space="preserve">Do not locate the triage or casualty collection point inside a lift/fall envelope, potential secondary-collapse zone, smoke/flood route or evacuation route.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0–15 minutes</w:t>
            </w:r>
          </w:p>
        </w:tc>
        <w:tc>
          <w:tcPr>
            <w:tcMar>
              <w:top w:type="dxa" w:w="80"/>
              <w:left w:type="dxa" w:w="120"/>
              <w:bottom w:type="dxa" w:w="80"/>
              <w:right w:type="dxa" w:w="120"/>
            </w:tcMar>
            <w:vAlign w:val="center"/>
          </w:tcPr>
          <w:p>
            <w:pPr>
              <w:pStyle w:val="MdTableCell"/>
            </w:pPr>
            <w:r>
              <w:t xml:space="preserve">Isolate crane/lift equipment, concrete pumps, mobile plant, temporary power and dewatering only where isolation does not worsen flooding, ventilation, structural stability or rescue access. Record each isolation and retain a resilient duty/standby water-control decision.</w:t>
            </w:r>
          </w:p>
        </w:tc>
        <w:tc>
          <w:tcPr>
            <w:tcMar>
              <w:top w:type="dxa" w:w="80"/>
              <w:left w:type="dxa" w:w="120"/>
              <w:bottom w:type="dxa" w:w="80"/>
              <w:right w:type="dxa" w:w="120"/>
            </w:tcMar>
            <w:vAlign w:val="center"/>
          </w:tcPr>
          <w:p>
            <w:pPr>
              <w:pStyle w:val="MdTableCell"/>
            </w:pPr>
            <w:r>
              <w:t xml:space="preserve">Lifting Isolation Lead / Electrical &amp; Dewatering Lead</w:t>
            </w:r>
          </w:p>
        </w:tc>
        <w:tc>
          <w:tcPr>
            <w:tcBorders>
              <w:right w:val="none"/>
            </w:tcBorders>
            <w:tcMar>
              <w:top w:type="dxa" w:w="80"/>
              <w:left w:type="dxa" w:w="120"/>
              <w:bottom w:type="dxa" w:w="80"/>
              <w:right w:type="dxa" w:w="120"/>
            </w:tcMar>
            <w:vAlign w:val="center"/>
          </w:tcPr>
          <w:p>
            <w:pPr>
              <w:pStyle w:val="MdTableCell"/>
            </w:pPr>
            <w:r>
              <w:t xml:space="preserve">Do not shut down dewatering blindly where it can increase water level, uplift or collapse risk.</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rPr>
                <w:rStyle w:val="MdStrong"/>
                <w:b/>
                <w:bCs/>
              </w:rPr>
              <w:t xml:space="preserve">0–20 minutes</w:t>
            </w:r>
          </w:p>
        </w:tc>
        <w:tc>
          <w:tcPr>
            <w:tcBorders>
              <w:bottom w:val="single" w:color="E1E4E8" w:sz="4"/>
            </w:tcBorders>
            <w:tcMar>
              <w:top w:type="dxa" w:w="80"/>
              <w:left w:type="dxa" w:w="120"/>
              <w:bottom w:type="dxa" w:w="80"/>
              <w:right w:type="dxa" w:w="120"/>
            </w:tcMar>
            <w:vAlign w:val="center"/>
          </w:tcPr>
          <w:p>
            <w:pPr>
              <w:pStyle w:val="MdTableCell"/>
            </w:pPr>
            <w:r>
              <w:t xml:space="preserve">Perform headcount by employer, workface and access log. Identify missing, trapped, injured, evacuated and unaccounted people. Map last-known locations, but do not dispatch search teams into unsafe zones.</w:t>
            </w:r>
          </w:p>
        </w:tc>
        <w:tc>
          <w:tcPr>
            <w:tcBorders>
              <w:bottom w:val="single" w:color="E1E4E8" w:sz="4"/>
            </w:tcBorders>
            <w:tcMar>
              <w:top w:type="dxa" w:w="80"/>
              <w:left w:type="dxa" w:w="120"/>
              <w:bottom w:type="dxa" w:w="80"/>
              <w:right w:type="dxa" w:w="120"/>
            </w:tcMar>
            <w:vAlign w:val="center"/>
          </w:tcPr>
          <w:p>
            <w:pPr>
              <w:pStyle w:val="MdTableCell"/>
            </w:pPr>
            <w:r>
              <w:t xml:space="preserve">Headcount Lead</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Do not rely solely on one supervisor’s verbal estimate.</w:t>
            </w:r>
          </w:p>
        </w:tc>
      </w:tr>
    </w:tbl>
    <w:p>
      <w:pPr>
        <w:pStyle w:val="Heading2"/>
        <w:pStyle w:val="MdHeading2"/>
      </w:pPr>
      <w:r>
        <w:t xml:space="preserve">4. Multi-casualty medical response and casualty movement</w:t>
      </w:r>
    </w:p>
    <w:p>
      <w:pPr>
        <w:pStyle w:val="MdParagraph"/>
      </w:pPr>
      <w:r>
        <w:t xml:space="preserve">The Medical Lead applies a triage system only within the competence and equipment of the site first-aid team and hands clinical command to emergency medical services on arrival. The site does not diagnose beyond its training scope. Casualty movement is limited to immediate life-safety need or is undertaken by trained personnel using an approved transfer method.</w:t>
      </w:r>
    </w:p>
    <w:p>
      <w:pPr>
        <w:pStyle w:val="MdSpace"/>
        <w:spacing w:before="0" w:after="60"/>
      </w:pP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t xml:space="preserve">Medical-control point</w:t>
            </w:r>
          </w:p>
        </w:tc>
        <w:tc>
          <w:tcPr>
            <w:tcBorders>
              <w:right w:val="none"/>
            </w:tcBorders>
            <w:tcMar>
              <w:top w:type="dxa" w:w="100"/>
              <w:left w:type="dxa" w:w="120"/>
              <w:bottom w:type="dxa" w:w="100"/>
              <w:right w:type="dxa" w:w="120"/>
            </w:tcMar>
            <w:vAlign w:val="center"/>
          </w:tcPr>
          <w:p>
            <w:pPr>
              <w:pStyle w:val="MdTableHeader"/>
            </w:pPr>
            <w:r>
              <w:t xml:space="preserve">Required protocol</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Triage location</w:t>
            </w:r>
          </w:p>
        </w:tc>
        <w:tc>
          <w:tcPr>
            <w:tcBorders>
              <w:right w:val="none"/>
            </w:tcBorders>
            <w:tcMar>
              <w:top w:type="dxa" w:w="80"/>
              <w:left w:type="dxa" w:w="120"/>
              <w:bottom w:type="dxa" w:w="80"/>
              <w:right w:type="dxa" w:w="120"/>
            </w:tcMar>
            <w:vAlign w:val="center"/>
          </w:tcPr>
          <w:p>
            <w:pPr>
              <w:pStyle w:val="MdTableCell"/>
            </w:pPr>
            <w:r>
              <w:t xml:space="preserve">Establish the primary triage/casualty collection point in the Warm Zone, adjacent to but not obstructing the protected ambulance transfer route. Identify a secondary point in case the first is compromised by smoke, water, falling-object risk or access blockage.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Triage categories</w:t>
            </w:r>
          </w:p>
        </w:tc>
        <w:tc>
          <w:tcPr>
            <w:tcBorders>
              <w:right w:val="none"/>
            </w:tcBorders>
            <w:tcMar>
              <w:top w:type="dxa" w:w="80"/>
              <w:left w:type="dxa" w:w="120"/>
              <w:bottom w:type="dxa" w:w="80"/>
              <w:right w:type="dxa" w:w="120"/>
            </w:tcMar>
            <w:vAlign w:val="center"/>
          </w:tcPr>
          <w:p>
            <w:pPr>
              <w:pStyle w:val="MdTableCell"/>
            </w:pPr>
            <w:r>
              <w:t xml:space="preserve">Use the project/EMS-approved mass-casualty triage tags and record identity, employer, location found, time, visible mechanism, initial actions and transfer destination. Do not create a parallel non-standard tag system during the incident.</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Medical priorities</w:t>
            </w:r>
          </w:p>
        </w:tc>
        <w:tc>
          <w:tcPr>
            <w:tcBorders>
              <w:right w:val="none"/>
            </w:tcBorders>
            <w:tcMar>
              <w:top w:type="dxa" w:w="80"/>
              <w:left w:type="dxa" w:w="120"/>
              <w:bottom w:type="dxa" w:w="80"/>
              <w:right w:type="dxa" w:w="120"/>
            </w:tcMar>
            <w:vAlign w:val="center"/>
          </w:tcPr>
          <w:p>
            <w:pPr>
              <w:pStyle w:val="MdTableCell"/>
            </w:pPr>
            <w:r>
              <w:t xml:space="preserve">Address immediate lifesaving needs within trained scope; protect casualties from further impact, heat, dust, water, electrical hazards and vehicle/plant movement. Maintain continuous reassessment while awaiting emergency medical services.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Casualty transfer</w:t>
            </w:r>
          </w:p>
        </w:tc>
        <w:tc>
          <w:tcPr>
            <w:tcBorders>
              <w:right w:val="none"/>
            </w:tcBorders>
            <w:tcMar>
              <w:top w:type="dxa" w:w="80"/>
              <w:left w:type="dxa" w:w="120"/>
              <w:bottom w:type="dxa" w:w="80"/>
              <w:right w:type="dxa" w:w="120"/>
            </w:tcMar>
            <w:vAlign w:val="center"/>
          </w:tcPr>
          <w:p>
            <w:pPr>
              <w:pStyle w:val="MdTableCell"/>
            </w:pPr>
            <w:r>
              <w:t xml:space="preserve">Use the approved stretcher/board method, adequate trained handlers and a route marshal. Move only along the protected casualty path. Where a stair, ramp or hoist is planned for casualty transfer, its suitability must be pre-verified in the emergency plan and confirmed safe at the time of the incident.</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Ambulance handover</w:t>
            </w:r>
          </w:p>
        </w:tc>
        <w:tc>
          <w:tcPr>
            <w:tcBorders>
              <w:right w:val="none"/>
            </w:tcBorders>
            <w:tcMar>
              <w:top w:type="dxa" w:w="80"/>
              <w:left w:type="dxa" w:w="120"/>
              <w:bottom w:type="dxa" w:w="80"/>
              <w:right w:type="dxa" w:w="120"/>
            </w:tcMar>
            <w:vAlign w:val="center"/>
          </w:tcPr>
          <w:p>
            <w:pPr>
              <w:pStyle w:val="MdTableCell"/>
            </w:pPr>
            <w:r>
              <w:t xml:space="preserve">The Access &amp; Traffic Marshal keeps the ambulance route clear and provides gate escort. The Medical Lead hands each casualty over with a record of time found, mechanism, treatment, identity, allergy/medical information if known and any suspected entrapment/crush exposure.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Casualty accounting</w:t>
            </w:r>
          </w:p>
        </w:tc>
        <w:tc>
          <w:tcPr>
            <w:tcBorders>
              <w:right w:val="none"/>
            </w:tcBorders>
            <w:tcMar>
              <w:top w:type="dxa" w:w="80"/>
              <w:left w:type="dxa" w:w="120"/>
              <w:bottom w:type="dxa" w:w="80"/>
              <w:right w:type="dxa" w:w="120"/>
            </w:tcMar>
            <w:vAlign w:val="center"/>
          </w:tcPr>
          <w:p>
            <w:pPr>
              <w:pStyle w:val="MdTableCell"/>
            </w:pPr>
            <w:r>
              <w:t xml:space="preserve">Maintain a single casualty log. The Headcount Lead reconciles the log against workface headcounts and emergency-service transfer records. Escalate any discrepancy immediately to the Incident Controller.</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rPr>
                <w:rStyle w:val="MdStrong"/>
                <w:b/>
                <w:bCs/>
              </w:rPr>
              <w:t xml:space="preserve">Psychological support</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Remove non-injured witnesses and affected teams from the incident scene, provide welfare support and prevent untrained workers from returning to the affected workface until formally released.</w:t>
            </w:r>
          </w:p>
        </w:tc>
      </w:tr>
    </w:tbl>
    <w:p>
      <w:pPr>
        <w:pStyle w:val="Heading2"/>
        <w:pStyle w:val="MdHeading2"/>
      </w:pPr>
      <w:r>
        <w:t xml:space="preserve">5. Lower-basement evacuation-route protocol</w:t>
      </w: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t xml:space="preserve">Route criterion</w:t>
            </w:r>
          </w:p>
        </w:tc>
        <w:tc>
          <w:tcPr>
            <w:tcMar>
              <w:top w:type="dxa" w:w="100"/>
              <w:left w:type="dxa" w:w="120"/>
              <w:bottom w:type="dxa" w:w="100"/>
              <w:right w:type="dxa" w:w="120"/>
            </w:tcMar>
            <w:vAlign w:val="center"/>
          </w:tcPr>
          <w:p>
            <w:pPr>
              <w:pStyle w:val="MdTableHeader"/>
            </w:pPr>
            <w:r>
              <w:t xml:space="preserve">Standard to establish before work</w:t>
            </w:r>
          </w:p>
        </w:tc>
        <w:tc>
          <w:tcPr>
            <w:tcBorders>
              <w:right w:val="none"/>
            </w:tcBorders>
            <w:tcMar>
              <w:top w:type="dxa" w:w="100"/>
              <w:left w:type="dxa" w:w="120"/>
              <w:bottom w:type="dxa" w:w="100"/>
              <w:right w:type="dxa" w:w="120"/>
            </w:tcMar>
            <w:vAlign w:val="center"/>
          </w:tcPr>
          <w:p>
            <w:pPr>
              <w:pStyle w:val="MdTableHeader"/>
            </w:pPr>
            <w:r>
              <w:t xml:space="preserve">Inspection / release trigger</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Two-route resilience</w:t>
            </w:r>
          </w:p>
        </w:tc>
        <w:tc>
          <w:tcPr>
            <w:tcMar>
              <w:top w:type="dxa" w:w="80"/>
              <w:left w:type="dxa" w:w="120"/>
              <w:bottom w:type="dxa" w:w="80"/>
              <w:right w:type="dxa" w:w="120"/>
            </w:tcMar>
            <w:vAlign w:val="center"/>
          </w:tcPr>
          <w:p>
            <w:pPr>
              <w:pStyle w:val="MdTableCell"/>
            </w:pPr>
            <w:r>
              <w:t xml:space="preserve">Maintain a primary route and a secondary means of egress that is not dependent on the normal mechanical route where mechanical access is used. </w:t>
            </w:r>
            <w:hyperlink w:history="1" r:id="rIdtoxwsi1f-geaxxgiuljpn">
              <w:r>
                <w:rPr>
                  <w:rStyle w:val="MdLink"/>
                </w:rPr>
                <w:t xml:space="preserve">1</w:t>
              </w:r>
            </w:hyperlink>
          </w:p>
        </w:tc>
        <w:tc>
          <w:tcPr>
            <w:tcBorders>
              <w:right w:val="none"/>
            </w:tcBorders>
            <w:tcMar>
              <w:top w:type="dxa" w:w="80"/>
              <w:left w:type="dxa" w:w="120"/>
              <w:bottom w:type="dxa" w:w="80"/>
              <w:right w:type="dxa" w:w="120"/>
            </w:tcMar>
            <w:vAlign w:val="center"/>
          </w:tcPr>
          <w:p>
            <w:pPr>
              <w:pStyle w:val="MdTableCell"/>
            </w:pPr>
            <w:r>
              <w:t xml:space="preserve">Shift-start and change-trigger route walkdown.</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Route segregation</w:t>
            </w:r>
          </w:p>
        </w:tc>
        <w:tc>
          <w:tcPr>
            <w:tcMar>
              <w:top w:type="dxa" w:w="80"/>
              <w:left w:type="dxa" w:w="120"/>
              <w:bottom w:type="dxa" w:w="80"/>
              <w:right w:type="dxa" w:w="120"/>
            </w:tcMar>
            <w:vAlign w:val="center"/>
          </w:tcPr>
          <w:p>
            <w:pPr>
              <w:pStyle w:val="MdTableCell"/>
            </w:pPr>
            <w:r>
              <w:t xml:space="preserve">Separate evacuation/casualty travel from crane load path, suspended-load envelope, concrete-pump hose, mobile plant, material storage and temporary electrical/dewatering hazards.</w:t>
            </w:r>
          </w:p>
        </w:tc>
        <w:tc>
          <w:tcPr>
            <w:tcBorders>
              <w:right w:val="none"/>
            </w:tcBorders>
            <w:tcMar>
              <w:top w:type="dxa" w:w="80"/>
              <w:left w:type="dxa" w:w="120"/>
              <w:bottom w:type="dxa" w:w="80"/>
              <w:right w:type="dxa" w:w="120"/>
            </w:tcMar>
            <w:vAlign w:val="center"/>
          </w:tcPr>
          <w:p>
            <w:pPr>
              <w:pStyle w:val="MdTableCell"/>
            </w:pPr>
            <w:r>
              <w:t xml:space="preserve">Before each SIMOPS period and after plant/route relocation.</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Physical condition</w:t>
            </w:r>
          </w:p>
        </w:tc>
        <w:tc>
          <w:tcPr>
            <w:tcMar>
              <w:top w:type="dxa" w:w="80"/>
              <w:left w:type="dxa" w:w="120"/>
              <w:bottom w:type="dxa" w:w="80"/>
              <w:right w:type="dxa" w:w="120"/>
            </w:tcMar>
            <w:vAlign w:val="center"/>
          </w:tcPr>
          <w:p>
            <w:pPr>
              <w:pStyle w:val="MdTableCell"/>
            </w:pPr>
            <w:r>
              <w:t xml:space="preserve">Keep routes lit, signed, stable, unobstructed, guarded at openings/leading edges and free of water, slurry, debris, rebar projections and trailing leads/hoses.</w:t>
            </w:r>
          </w:p>
        </w:tc>
        <w:tc>
          <w:tcPr>
            <w:tcBorders>
              <w:right w:val="none"/>
            </w:tcBorders>
            <w:tcMar>
              <w:top w:type="dxa" w:w="80"/>
              <w:left w:type="dxa" w:w="120"/>
              <w:bottom w:type="dxa" w:w="80"/>
              <w:right w:type="dxa" w:w="120"/>
            </w:tcMar>
            <w:vAlign w:val="center"/>
          </w:tcPr>
          <w:p>
            <w:pPr>
              <w:pStyle w:val="MdTableCell"/>
            </w:pPr>
            <w:r>
              <w:t xml:space="preserve">Continuous housekeeping plus recorded pre-shift inspection.</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Access capacity</w:t>
            </w:r>
          </w:p>
        </w:tc>
        <w:tc>
          <w:tcPr>
            <w:tcMar>
              <w:top w:type="dxa" w:w="80"/>
              <w:left w:type="dxa" w:w="120"/>
              <w:bottom w:type="dxa" w:w="80"/>
              <w:right w:type="dxa" w:w="120"/>
            </w:tcMar>
            <w:vAlign w:val="center"/>
          </w:tcPr>
          <w:p>
            <w:pPr>
              <w:pStyle w:val="MdTableCell"/>
            </w:pPr>
            <w:r>
              <w:t xml:space="preserve">The project emergency plan must determine the route width, turning points, vertical transfer and number of simultaneous casualties for its specific basement layout; do not adopt a generic width from an unrelated project.</w:t>
            </w:r>
          </w:p>
        </w:tc>
        <w:tc>
          <w:tcPr>
            <w:tcBorders>
              <w:right w:val="none"/>
            </w:tcBorders>
            <w:tcMar>
              <w:top w:type="dxa" w:w="80"/>
              <w:left w:type="dxa" w:w="120"/>
              <w:bottom w:type="dxa" w:w="80"/>
              <w:right w:type="dxa" w:w="120"/>
            </w:tcMar>
            <w:vAlign w:val="center"/>
          </w:tcPr>
          <w:p>
            <w:pPr>
              <w:pStyle w:val="MdTableCell"/>
            </w:pPr>
            <w:r>
              <w:t xml:space="preserve">Emergency drill validates movement of stretcher team and emergency responders.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Emergency lighting and communications</w:t>
            </w:r>
          </w:p>
        </w:tc>
        <w:tc>
          <w:tcPr>
            <w:tcMar>
              <w:top w:type="dxa" w:w="80"/>
              <w:left w:type="dxa" w:w="120"/>
              <w:bottom w:type="dxa" w:w="80"/>
              <w:right w:type="dxa" w:w="120"/>
            </w:tcMar>
            <w:vAlign w:val="center"/>
          </w:tcPr>
          <w:p>
            <w:pPr>
              <w:pStyle w:val="MdTableCell"/>
            </w:pPr>
            <w:r>
              <w:t xml:space="preserve">Provide emergency lighting and robust two-way communications to route marshals, rescue leads and the incident command point. CoP 46.0 requires emergency lighting at emergency exits, access points and control/communication points in underground construction contexts. </w:t>
            </w:r>
            <w:hyperlink w:history="1" r:id="rIduh3tgf6h4vr7gww56opcy">
              <w:r>
                <w:rPr>
                  <w:rStyle w:val="MdLink"/>
                </w:rPr>
                <w:t xml:space="preserve">1</w:t>
              </w:r>
            </w:hyperlink>
          </w:p>
        </w:tc>
        <w:tc>
          <w:tcPr>
            <w:tcBorders>
              <w:right w:val="none"/>
            </w:tcBorders>
            <w:tcMar>
              <w:top w:type="dxa" w:w="80"/>
              <w:left w:type="dxa" w:w="120"/>
              <w:bottom w:type="dxa" w:w="80"/>
              <w:right w:type="dxa" w:w="120"/>
            </w:tcMar>
            <w:vAlign w:val="center"/>
          </w:tcPr>
          <w:p>
            <w:pPr>
              <w:pStyle w:val="MdTableCell"/>
            </w:pPr>
            <w:r>
              <w:t xml:space="preserve">Functional test at shift start and after power-system change.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Route control during lift</w:t>
            </w:r>
          </w:p>
        </w:tc>
        <w:tc>
          <w:tcPr>
            <w:tcMar>
              <w:top w:type="dxa" w:w="80"/>
              <w:left w:type="dxa" w:w="120"/>
              <w:bottom w:type="dxa" w:w="80"/>
              <w:right w:type="dxa" w:w="120"/>
            </w:tcMar>
            <w:vAlign w:val="center"/>
          </w:tcPr>
          <w:p>
            <w:pPr>
              <w:pStyle w:val="MdTableCell"/>
            </w:pPr>
            <w:r>
              <w:t xml:space="preserve">No load travel, concrete hose swing, material landing or vehicle movement may block the protected evacuation path. A route marshal controls crossings and stops the lift if the path is compromised.</w:t>
            </w:r>
          </w:p>
        </w:tc>
        <w:tc>
          <w:tcPr>
            <w:tcBorders>
              <w:right w:val="none"/>
            </w:tcBorders>
            <w:tcMar>
              <w:top w:type="dxa" w:w="80"/>
              <w:left w:type="dxa" w:w="120"/>
              <w:bottom w:type="dxa" w:w="80"/>
              <w:right w:type="dxa" w:w="120"/>
            </w:tcMar>
            <w:vAlign w:val="center"/>
          </w:tcPr>
          <w:p>
            <w:pPr>
              <w:pStyle w:val="MdTableCell"/>
            </w:pPr>
            <w:r>
              <w:t xml:space="preserve">Pre-lift audit and continuous observation.</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rPr>
                <w:rStyle w:val="MdStrong"/>
                <w:b/>
                <w:bCs/>
              </w:rPr>
              <w:t xml:space="preserve">Route release after event</w:t>
            </w:r>
          </w:p>
        </w:tc>
        <w:tc>
          <w:tcPr>
            <w:tcBorders>
              <w:bottom w:val="single" w:color="E1E4E8" w:sz="4"/>
            </w:tcBorders>
            <w:tcMar>
              <w:top w:type="dxa" w:w="80"/>
              <w:left w:type="dxa" w:w="120"/>
              <w:bottom w:type="dxa" w:w="80"/>
              <w:right w:type="dxa" w:w="120"/>
            </w:tcMar>
            <w:vAlign w:val="center"/>
          </w:tcPr>
          <w:p>
            <w:pPr>
              <w:pStyle w:val="MdTableCell"/>
            </w:pPr>
            <w:r>
              <w:t xml:space="preserve">Only the Incident Controller, supported by the relevant structural/temporary-works/lifting/electrical authority, may reopen an affected route.</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Written revalidation after hazard assessment and authority directions.</w:t>
            </w:r>
          </w:p>
        </w:tc>
      </w:tr>
    </w:tbl>
    <w:p>
      <w:pPr>
        <w:pStyle w:val="Heading2"/>
        <w:pStyle w:val="MdHeading2"/>
      </w:pPr>
      <w:r>
        <w:t xml:space="preserve">6. Incident command structure and communication protocol</w:t>
      </w: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t xml:space="preserve">Role</w:t>
            </w:r>
          </w:p>
        </w:tc>
        <w:tc>
          <w:tcPr>
            <w:tcMar>
              <w:top w:type="dxa" w:w="100"/>
              <w:left w:type="dxa" w:w="120"/>
              <w:bottom w:type="dxa" w:w="100"/>
              <w:right w:type="dxa" w:w="120"/>
            </w:tcMar>
            <w:vAlign w:val="center"/>
          </w:tcPr>
          <w:p>
            <w:pPr>
              <w:pStyle w:val="MdTableHeader"/>
            </w:pPr>
            <w:r>
              <w:t xml:space="preserve">Core responsibility</w:t>
            </w:r>
          </w:p>
        </w:tc>
        <w:tc>
          <w:tcPr>
            <w:tcBorders>
              <w:right w:val="none"/>
            </w:tcBorders>
            <w:tcMar>
              <w:top w:type="dxa" w:w="100"/>
              <w:left w:type="dxa" w:w="120"/>
              <w:bottom w:type="dxa" w:w="100"/>
              <w:right w:type="dxa" w:w="120"/>
            </w:tcMar>
            <w:vAlign w:val="center"/>
          </w:tcPr>
          <w:p>
            <w:pPr>
              <w:pStyle w:val="MdTableHeader"/>
            </w:pPr>
            <w:r>
              <w:t xml:space="preserve">First report / information to provide</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Incident Controller</w:t>
            </w:r>
          </w:p>
        </w:tc>
        <w:tc>
          <w:tcPr>
            <w:tcMar>
              <w:top w:type="dxa" w:w="80"/>
              <w:left w:type="dxa" w:w="120"/>
              <w:bottom w:type="dxa" w:w="80"/>
              <w:right w:type="dxa" w:w="120"/>
            </w:tcMar>
            <w:vAlign w:val="center"/>
          </w:tcPr>
          <w:p>
            <w:pPr>
              <w:pStyle w:val="MdTableCell"/>
            </w:pPr>
            <w:r>
              <w:t xml:space="preserve">Commands all site resources until emergency services assume incident control; orders all-stop, zone creation and work suspension.</w:t>
            </w:r>
          </w:p>
        </w:tc>
        <w:tc>
          <w:tcPr>
            <w:tcBorders>
              <w:right w:val="none"/>
            </w:tcBorders>
            <w:tcMar>
              <w:top w:type="dxa" w:w="80"/>
              <w:left w:type="dxa" w:w="120"/>
              <w:bottom w:type="dxa" w:w="80"/>
              <w:right w:type="dxa" w:w="120"/>
            </w:tcMar>
            <w:vAlign w:val="center"/>
          </w:tcPr>
          <w:p>
            <w:pPr>
              <w:pStyle w:val="MdTableCell"/>
            </w:pPr>
            <w:r>
              <w:t xml:space="preserve">Type of event, escalation status, number known/missing, active hazards, route status.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Rescue / Medical Lead</w:t>
            </w:r>
          </w:p>
        </w:tc>
        <w:tc>
          <w:tcPr>
            <w:tcMar>
              <w:top w:type="dxa" w:w="80"/>
              <w:left w:type="dxa" w:w="120"/>
              <w:bottom w:type="dxa" w:w="80"/>
              <w:right w:type="dxa" w:w="120"/>
            </w:tcMar>
            <w:vAlign w:val="center"/>
          </w:tcPr>
          <w:p>
            <w:pPr>
              <w:pStyle w:val="MdTableCell"/>
            </w:pPr>
            <w:r>
              <w:t xml:space="preserve">Controls rescue-team deployment within capability; establishes triage/casualty collection; coordinates medical handover.</w:t>
            </w:r>
          </w:p>
        </w:tc>
        <w:tc>
          <w:tcPr>
            <w:tcBorders>
              <w:right w:val="none"/>
            </w:tcBorders>
            <w:tcMar>
              <w:top w:type="dxa" w:w="80"/>
              <w:left w:type="dxa" w:w="120"/>
              <w:bottom w:type="dxa" w:w="80"/>
              <w:right w:type="dxa" w:w="120"/>
            </w:tcMar>
            <w:vAlign w:val="center"/>
          </w:tcPr>
          <w:p>
            <w:pPr>
              <w:pStyle w:val="MdTableCell"/>
            </w:pPr>
            <w:r>
              <w:t xml:space="preserve">Casualty count, triage status, rescue-access limitation, medical resource need.</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Lifting Isolation Lead</w:t>
            </w:r>
          </w:p>
        </w:tc>
        <w:tc>
          <w:tcPr>
            <w:tcMar>
              <w:top w:type="dxa" w:w="80"/>
              <w:left w:type="dxa" w:w="120"/>
              <w:bottom w:type="dxa" w:w="80"/>
              <w:right w:type="dxa" w:w="120"/>
            </w:tcMar>
            <w:vAlign w:val="center"/>
          </w:tcPr>
          <w:p>
            <w:pPr>
              <w:pStyle w:val="MdTableCell"/>
            </w:pPr>
            <w:r>
              <w:t xml:space="preserve">Stops and secures crane/lifting operations; confirms suspended-load condition and lift-zone isolation.</w:t>
            </w:r>
          </w:p>
        </w:tc>
        <w:tc>
          <w:tcPr>
            <w:tcBorders>
              <w:right w:val="none"/>
            </w:tcBorders>
            <w:tcMar>
              <w:top w:type="dxa" w:w="80"/>
              <w:left w:type="dxa" w:w="120"/>
              <w:bottom w:type="dxa" w:w="80"/>
              <w:right w:type="dxa" w:w="120"/>
            </w:tcMar>
            <w:vAlign w:val="center"/>
          </w:tcPr>
          <w:p>
            <w:pPr>
              <w:pStyle w:val="MdTableCell"/>
            </w:pPr>
            <w:r>
              <w:t xml:space="preserve">Crane/load status, energy isolation, exclusion-zone status, secondary fall risk.</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Temporary Works / Structural Lead</w:t>
            </w:r>
          </w:p>
        </w:tc>
        <w:tc>
          <w:tcPr>
            <w:tcMar>
              <w:top w:type="dxa" w:w="80"/>
              <w:left w:type="dxa" w:w="120"/>
              <w:bottom w:type="dxa" w:w="80"/>
              <w:right w:type="dxa" w:w="120"/>
            </w:tcMar>
            <w:vAlign w:val="center"/>
          </w:tcPr>
          <w:p>
            <w:pPr>
              <w:pStyle w:val="MdTableCell"/>
            </w:pPr>
            <w:r>
              <w:t xml:space="preserve">Assesses stability with competent design authority; defines no-entry zone and re-entry conditions.</w:t>
            </w:r>
          </w:p>
        </w:tc>
        <w:tc>
          <w:tcPr>
            <w:tcBorders>
              <w:right w:val="none"/>
            </w:tcBorders>
            <w:tcMar>
              <w:top w:type="dxa" w:w="80"/>
              <w:left w:type="dxa" w:w="120"/>
              <w:bottom w:type="dxa" w:w="80"/>
              <w:right w:type="dxa" w:w="120"/>
            </w:tcMar>
            <w:vAlign w:val="center"/>
          </w:tcPr>
          <w:p>
            <w:pPr>
              <w:pStyle w:val="MdTableCell"/>
            </w:pPr>
            <w:r>
              <w:t xml:space="preserve">Collapse extent, secondary-collapse risk, required shoring/monitoring or no-entry limit.</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Electrical / Dewatering Lead</w:t>
            </w:r>
          </w:p>
        </w:tc>
        <w:tc>
          <w:tcPr>
            <w:tcMar>
              <w:top w:type="dxa" w:w="80"/>
              <w:left w:type="dxa" w:w="120"/>
              <w:bottom w:type="dxa" w:w="80"/>
              <w:right w:type="dxa" w:w="120"/>
            </w:tcMar>
            <w:vAlign w:val="center"/>
          </w:tcPr>
          <w:p>
            <w:pPr>
              <w:pStyle w:val="MdTableCell"/>
            </w:pPr>
            <w:r>
              <w:t xml:space="preserve">Manages power, water and pumping decisions without increasing the hazard.</w:t>
            </w:r>
          </w:p>
        </w:tc>
        <w:tc>
          <w:tcPr>
            <w:tcBorders>
              <w:right w:val="none"/>
            </w:tcBorders>
            <w:tcMar>
              <w:top w:type="dxa" w:w="80"/>
              <w:left w:type="dxa" w:w="120"/>
              <w:bottom w:type="dxa" w:w="80"/>
              <w:right w:type="dxa" w:w="120"/>
            </w:tcMar>
            <w:vAlign w:val="center"/>
          </w:tcPr>
          <w:p>
            <w:pPr>
              <w:pStyle w:val="MdTableCell"/>
            </w:pPr>
            <w:r>
              <w:t xml:space="preserve">Live electrical risk, water level/pump status, controlled isolation decisions.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Access &amp; Traffic Marshal</w:t>
            </w:r>
          </w:p>
        </w:tc>
        <w:tc>
          <w:tcPr>
            <w:tcMar>
              <w:top w:type="dxa" w:w="80"/>
              <w:left w:type="dxa" w:w="120"/>
              <w:bottom w:type="dxa" w:w="80"/>
              <w:right w:type="dxa" w:w="120"/>
            </w:tcMar>
            <w:vAlign w:val="center"/>
          </w:tcPr>
          <w:p>
            <w:pPr>
              <w:pStyle w:val="MdTableCell"/>
            </w:pPr>
            <w:r>
              <w:t xml:space="preserve">Clears/protects ambulance route; manages gate guide and emergency-service escort.</w:t>
            </w:r>
          </w:p>
        </w:tc>
        <w:tc>
          <w:tcPr>
            <w:tcBorders>
              <w:right w:val="none"/>
            </w:tcBorders>
            <w:tcMar>
              <w:top w:type="dxa" w:w="80"/>
              <w:left w:type="dxa" w:w="120"/>
              <w:bottom w:type="dxa" w:w="80"/>
              <w:right w:type="dxa" w:w="120"/>
            </w:tcMar>
            <w:vAlign w:val="center"/>
          </w:tcPr>
          <w:p>
            <w:pPr>
              <w:pStyle w:val="MdTableCell"/>
            </w:pPr>
            <w:r>
              <w:t xml:space="preserve">Gate, route, access point, vertical transfer method and obstruction status.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Headcount Lead</w:t>
            </w:r>
          </w:p>
        </w:tc>
        <w:tc>
          <w:tcPr>
            <w:tcMar>
              <w:top w:type="dxa" w:w="80"/>
              <w:left w:type="dxa" w:w="120"/>
              <w:bottom w:type="dxa" w:w="80"/>
              <w:right w:type="dxa" w:w="120"/>
            </w:tcMar>
            <w:vAlign w:val="center"/>
          </w:tcPr>
          <w:p>
            <w:pPr>
              <w:pStyle w:val="MdTableCell"/>
            </w:pPr>
            <w:r>
              <w:t xml:space="preserve">Reconciles all people, visitors and subcontract crews.</w:t>
            </w:r>
          </w:p>
        </w:tc>
        <w:tc>
          <w:tcPr>
            <w:tcBorders>
              <w:right w:val="none"/>
            </w:tcBorders>
            <w:tcMar>
              <w:top w:type="dxa" w:w="80"/>
              <w:left w:type="dxa" w:w="120"/>
              <w:bottom w:type="dxa" w:w="80"/>
              <w:right w:type="dxa" w:w="120"/>
            </w:tcMar>
            <w:vAlign w:val="center"/>
          </w:tcPr>
          <w:p>
            <w:pPr>
              <w:pStyle w:val="MdTableCell"/>
            </w:pPr>
            <w:r>
              <w:t xml:space="preserve">Missing list, last-known location, evacuated list and contractors affected.</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rPr>
                <w:rStyle w:val="MdStrong"/>
                <w:b/>
                <w:bCs/>
              </w:rPr>
              <w:t xml:space="preserve">Communications / Records Lead</w:t>
            </w:r>
          </w:p>
        </w:tc>
        <w:tc>
          <w:tcPr>
            <w:tcBorders>
              <w:bottom w:val="single" w:color="E1E4E8" w:sz="4"/>
            </w:tcBorders>
            <w:tcMar>
              <w:top w:type="dxa" w:w="80"/>
              <w:left w:type="dxa" w:w="120"/>
              <w:bottom w:type="dxa" w:w="80"/>
              <w:right w:type="dxa" w:w="120"/>
            </w:tcMar>
            <w:vAlign w:val="center"/>
          </w:tcPr>
          <w:p>
            <w:pPr>
              <w:pStyle w:val="MdTableCell"/>
            </w:pPr>
            <w:r>
              <w:t xml:space="preserve">Maintains event log, calls, authority notifications and incident record.</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Chronology, emergency call references, authority/client reports and decisions.</w:t>
            </w:r>
          </w:p>
        </w:tc>
      </w:tr>
    </w:tbl>
    <w:p>
      <w:pPr>
        <w:pStyle w:val="Heading2"/>
        <w:pStyle w:val="MdHeading2"/>
      </w:pPr>
      <w:r>
        <w:t xml:space="preserve">7. Drills, competency and post-event release</w:t>
      </w:r>
    </w:p>
    <w:p>
      <w:pPr>
        <w:pStyle w:val="MdParagraph"/>
      </w:pPr>
      <w:r>
        <w:t xml:space="preserve">A multi-casualty drill must test the real route, the maximum credible number of casualties, all relevant shifts and the interaction with lifting/concreting/dewatering. The drill must include an alarm, all-stop, access control, headcount, gate guide, staged casualty transfer, communications failure contingency and a decision not to enter an unstable collapse zone. Record timing, barriers, communication gaps, vertical transfer constraints and corrective actions.</w:t>
      </w:r>
    </w:p>
    <w:p>
      <w:pPr>
        <w:pStyle w:val="MdSpace"/>
        <w:spacing w:before="0" w:after="60"/>
      </w:pPr>
    </w:p>
    <w:p>
      <w:pPr>
        <w:pStyle w:val="MdParagraph"/>
      </w:pPr>
      <w:r>
        <w:t xml:space="preserve">After a structural collapse or crane incident, the affected area remains under </w:t>
      </w:r>
      <w:r>
        <w:rPr>
          <w:rStyle w:val="MdStrong"/>
          <w:b/>
          <w:bCs/>
        </w:rPr>
        <w:t xml:space="preserve">formal stop-work</w:t>
      </w:r>
      <w:r>
        <w:t xml:space="preserve"> until emergency services and any competent authority release it, the scene is preserved as required, the temporary-works/structural and lifting reviews are complete, all permits are suspended/revalidated, the SIMOPS plan is revised, and workforce briefing has been completed. No schedule pressure may override these release gates.</w:t>
      </w:r>
    </w:p>
    <w:p>
      <w:pPr>
        <w:pStyle w:val="MdSpace"/>
        <w:spacing w:before="0" w:after="60"/>
      </w:pPr>
    </w:p>
    <w:p>
      <w:pPr>
        <w:pStyle w:val="Heading2"/>
        <w:pStyle w:val="MdHeading2"/>
      </w:pPr>
      <w:r>
        <w:t xml:space="preserve">8. Contractor non-conformance and enforcement matrix</w:t>
      </w:r>
    </w:p>
    <w:p>
      <w:pPr>
        <w:pStyle w:val="Heading3"/>
        <w:pStyle w:val="MdHeading3"/>
      </w:pPr>
      <w:r>
        <w:t xml:space="preserve">8.1 How to use the matrix</w:t>
      </w:r>
    </w:p>
    <w:p>
      <w:pPr>
        <w:pStyle w:val="MdParagraph"/>
      </w:pPr>
      <w:r>
        <w:t xml:space="preserve">ADPHC CoP 53.0 requires the Principal Contractor to plan, coordinate, supervise and enforce compliance. Where a person or entity fails to comply with an OSH direction, the Principal Contractor must ensure that they stop work until compliance is achieved. The Building and Construction SRA may enforce the CoP, including penalties for non-compliance. </w:t>
      </w:r>
      <w:hyperlink w:history="1" r:id="rIdl5qehnzmds-ivkmq4bx_8">
        <w:r>
          <w:rPr>
            <w:rStyle w:val="MdLink"/>
          </w:rPr>
          <w:t xml:space="preserve">2</w:t>
        </w:r>
      </w:hyperlink>
    </w:p>
    <w:p>
      <w:pPr>
        <w:pStyle w:val="MdSpace"/>
        <w:spacing w:before="0" w:after="60"/>
      </w:pPr>
    </w:p>
    <w:p>
      <w:pPr>
        <w:pStyle w:val="MdParagraph"/>
      </w:pPr>
      <w:r>
        <w:t xml:space="preserve">The public sources reviewed do </w:t>
      </w:r>
      <w:r>
        <w:rPr>
          <w:rStyle w:val="MdStrong"/>
          <w:b/>
          <w:bCs/>
        </w:rPr>
        <w:t xml:space="preserve">not</w:t>
      </w:r>
      <w:r>
        <w:t xml:space="preserve"> provide a universal monetary fine specifically for crane-to-formwork exclusion-zone breaches or unauthorised SIMOPS. Therefore, this matrix separates: </w:t>
      </w:r>
      <w:r>
        <w:rPr>
          <w:rStyle w:val="MdStrong"/>
          <w:b/>
          <w:bCs/>
        </w:rPr>
        <w:t xml:space="preserve">(a) authority enforcement</w:t>
      </w:r>
      <w:r>
        <w:t xml:space="preserve">, which is determined by the competent authority and applicable permit/development-zone rules; and </w:t>
      </w:r>
      <w:r>
        <w:rPr>
          <w:rStyle w:val="MdStrong"/>
          <w:b/>
          <w:bCs/>
        </w:rPr>
        <w:t xml:space="preserve">(b) project contractual remedies</w:t>
      </w:r>
      <w:r>
        <w:t xml:space="preserve">, which apply only if the contract permits them and after the project’s documented due-process review. Do not present internal contractual deductions as “municipal fines.”</w:t>
      </w:r>
    </w:p>
    <w:p>
      <w:pPr>
        <w:pStyle w:val="MdSpace"/>
        <w:spacing w:before="0" w:after="60"/>
      </w:pP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gridCol w:w="100"/>
        <w:gridCol w:w="100"/>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t xml:space="preserve">Level</w:t>
            </w:r>
          </w:p>
        </w:tc>
        <w:tc>
          <w:tcPr>
            <w:tcMar>
              <w:top w:type="dxa" w:w="100"/>
              <w:left w:type="dxa" w:w="120"/>
              <w:bottom w:type="dxa" w:w="100"/>
              <w:right w:type="dxa" w:w="120"/>
            </w:tcMar>
            <w:vAlign w:val="center"/>
          </w:tcPr>
          <w:p>
            <w:pPr>
              <w:pStyle w:val="MdTableHeader"/>
            </w:pPr>
            <w:r>
              <w:t xml:space="preserve">Breach example</w:t>
            </w:r>
          </w:p>
        </w:tc>
        <w:tc>
          <w:tcPr>
            <w:tcMar>
              <w:top w:type="dxa" w:w="100"/>
              <w:left w:type="dxa" w:w="120"/>
              <w:bottom w:type="dxa" w:w="100"/>
              <w:right w:type="dxa" w:w="120"/>
            </w:tcMar>
            <w:vAlign w:val="center"/>
          </w:tcPr>
          <w:p>
            <w:pPr>
              <w:pStyle w:val="MdTableHeader"/>
            </w:pPr>
            <w:r>
              <w:t xml:space="preserve">Minimum immediate action</w:t>
            </w:r>
          </w:p>
        </w:tc>
        <w:tc>
          <w:tcPr>
            <w:tcMar>
              <w:top w:type="dxa" w:w="100"/>
              <w:left w:type="dxa" w:w="120"/>
              <w:bottom w:type="dxa" w:w="100"/>
              <w:right w:type="dxa" w:w="120"/>
            </w:tcMar>
            <w:vAlign w:val="center"/>
          </w:tcPr>
          <w:p>
            <w:pPr>
              <w:pStyle w:val="MdTableHeader"/>
            </w:pPr>
            <w:r>
              <w:t xml:space="preserve">Authority / regulatory response</w:t>
            </w:r>
          </w:p>
        </w:tc>
        <w:tc>
          <w:tcPr>
            <w:tcMar>
              <w:top w:type="dxa" w:w="100"/>
              <w:left w:type="dxa" w:w="120"/>
              <w:bottom w:type="dxa" w:w="100"/>
              <w:right w:type="dxa" w:w="120"/>
            </w:tcMar>
            <w:vAlign w:val="center"/>
          </w:tcPr>
          <w:p>
            <w:pPr>
              <w:pStyle w:val="MdTableHeader"/>
            </w:pPr>
            <w:r>
              <w:t xml:space="preserve">Contractual project response — insert approved schedule</w:t>
            </w:r>
          </w:p>
        </w:tc>
        <w:tc>
          <w:tcPr>
            <w:tcBorders>
              <w:right w:val="none"/>
            </w:tcBorders>
            <w:tcMar>
              <w:top w:type="dxa" w:w="100"/>
              <w:left w:type="dxa" w:w="120"/>
              <w:bottom w:type="dxa" w:w="100"/>
              <w:right w:type="dxa" w:w="120"/>
            </w:tcMar>
            <w:vAlign w:val="center"/>
          </w:tcPr>
          <w:p>
            <w:pPr>
              <w:pStyle w:val="MdTableHeader"/>
            </w:pPr>
            <w:r>
              <w:t xml:space="preserve">Release / recurrence control</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NC-1: Minor procedural non-conformance</w:t>
            </w:r>
          </w:p>
        </w:tc>
        <w:tc>
          <w:tcPr>
            <w:tcMar>
              <w:top w:type="dxa" w:w="80"/>
              <w:left w:type="dxa" w:w="120"/>
              <w:bottom w:type="dxa" w:w="80"/>
              <w:right w:type="dxa" w:w="120"/>
            </w:tcMar>
            <w:vAlign w:val="center"/>
          </w:tcPr>
          <w:p>
            <w:pPr>
              <w:pStyle w:val="MdTableCell"/>
            </w:pPr>
            <w:r>
              <w:t xml:space="preserve">Incomplete zone sign, stale crew briefing, missing signature, or minor barrier defect discovered before a lift and with no personnel exposure.</w:t>
            </w:r>
          </w:p>
        </w:tc>
        <w:tc>
          <w:tcPr>
            <w:tcMar>
              <w:top w:type="dxa" w:w="80"/>
              <w:left w:type="dxa" w:w="120"/>
              <w:bottom w:type="dxa" w:w="80"/>
              <w:right w:type="dxa" w:w="120"/>
            </w:tcMar>
            <w:vAlign w:val="center"/>
          </w:tcPr>
          <w:p>
            <w:pPr>
              <w:pStyle w:val="MdTableCell"/>
            </w:pPr>
            <w:r>
              <w:t xml:space="preserve">Correct before the lift; record observation.</w:t>
            </w:r>
          </w:p>
        </w:tc>
        <w:tc>
          <w:tcPr>
            <w:tcMar>
              <w:top w:type="dxa" w:w="80"/>
              <w:left w:type="dxa" w:w="120"/>
              <w:bottom w:type="dxa" w:w="80"/>
              <w:right w:type="dxa" w:w="120"/>
            </w:tcMar>
            <w:vAlign w:val="center"/>
          </w:tcPr>
          <w:p>
            <w:pPr>
              <w:pStyle w:val="MdTableCell"/>
            </w:pPr>
            <w:r>
              <w:t xml:space="preserve">Site/SRA inspection finding if observed; authority action depends on inspection/permit.</w:t>
            </w:r>
          </w:p>
        </w:tc>
        <w:tc>
          <w:tcPr>
            <w:tcMar>
              <w:top w:type="dxa" w:w="80"/>
              <w:left w:type="dxa" w:w="120"/>
              <w:bottom w:type="dxa" w:w="80"/>
              <w:right w:type="dxa" w:w="120"/>
            </w:tcMar>
            <w:vAlign w:val="center"/>
          </w:tcPr>
          <w:p>
            <w:pPr>
              <w:pStyle w:val="MdTableCell"/>
            </w:pPr>
            <w:r>
              <w:t xml:space="preserve">Written observation; same-shift correction; no monetary deduction unless contract expressly provides.</w:t>
            </w:r>
          </w:p>
        </w:tc>
        <w:tc>
          <w:tcPr>
            <w:tcBorders>
              <w:right w:val="none"/>
            </w:tcBorders>
            <w:tcMar>
              <w:top w:type="dxa" w:w="80"/>
              <w:left w:type="dxa" w:w="120"/>
              <w:bottom w:type="dxa" w:w="80"/>
              <w:right w:type="dxa" w:w="120"/>
            </w:tcMar>
            <w:vAlign w:val="center"/>
          </w:tcPr>
          <w:p>
            <w:pPr>
              <w:pStyle w:val="MdTableCell"/>
            </w:pPr>
            <w:r>
              <w:t xml:space="preserve">Supervisor sign-off; repeat brief.</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NC-2: Material control weakness</w:t>
            </w:r>
          </w:p>
        </w:tc>
        <w:tc>
          <w:tcPr>
            <w:tcMar>
              <w:top w:type="dxa" w:w="80"/>
              <w:left w:type="dxa" w:w="120"/>
              <w:bottom w:type="dxa" w:w="80"/>
              <w:right w:type="dxa" w:w="120"/>
            </w:tcMar>
            <w:vAlign w:val="center"/>
          </w:tcPr>
          <w:p>
            <w:pPr>
              <w:pStyle w:val="MdTableCell"/>
            </w:pPr>
            <w:r>
              <w:t xml:space="preserve">Barrier gap, uncontrolled access point, route encroachment, late permit interface check, or planned SIMOPS starts without complete coordination but no active suspended-load exposure.</w:t>
            </w:r>
          </w:p>
        </w:tc>
        <w:tc>
          <w:tcPr>
            <w:tcMar>
              <w:top w:type="dxa" w:w="80"/>
              <w:left w:type="dxa" w:w="120"/>
              <w:bottom w:type="dxa" w:w="80"/>
              <w:right w:type="dxa" w:w="120"/>
            </w:tcMar>
            <w:vAlign w:val="center"/>
          </w:tcPr>
          <w:p>
            <w:pPr>
              <w:pStyle w:val="MdTableCell"/>
            </w:pPr>
            <w:r>
              <w:t xml:space="preserve">Stop affected activity; establish barrier/route; issue corrective action.</w:t>
            </w:r>
          </w:p>
        </w:tc>
        <w:tc>
          <w:tcPr>
            <w:tcMar>
              <w:top w:type="dxa" w:w="80"/>
              <w:left w:type="dxa" w:w="120"/>
              <w:bottom w:type="dxa" w:w="80"/>
              <w:right w:type="dxa" w:w="120"/>
            </w:tcMar>
            <w:vAlign w:val="center"/>
          </w:tcPr>
          <w:p>
            <w:pPr>
              <w:pStyle w:val="MdTableCell"/>
            </w:pPr>
            <w:r>
              <w:t xml:space="preserve">Potential regulatory non-compliance; report/escalate under project permit rules if required.</w:t>
            </w:r>
          </w:p>
        </w:tc>
        <w:tc>
          <w:tcPr>
            <w:tcMar>
              <w:top w:type="dxa" w:w="80"/>
              <w:left w:type="dxa" w:w="120"/>
              <w:bottom w:type="dxa" w:w="80"/>
              <w:right w:type="dxa" w:w="120"/>
            </w:tcMar>
            <w:vAlign w:val="center"/>
          </w:tcPr>
          <w:p>
            <w:pPr>
              <w:pStyle w:val="MdTableCell"/>
            </w:pPr>
            <w:r>
              <w:t xml:space="preserve">Formal NCR; corrective action by defined time; recovery of reinspection/rebriefing cost if contract permits; performance-score impact.</w:t>
            </w:r>
          </w:p>
        </w:tc>
        <w:tc>
          <w:tcPr>
            <w:tcBorders>
              <w:right w:val="none"/>
            </w:tcBorders>
            <w:tcMar>
              <w:top w:type="dxa" w:w="80"/>
              <w:left w:type="dxa" w:w="120"/>
              <w:bottom w:type="dxa" w:w="80"/>
              <w:right w:type="dxa" w:w="120"/>
            </w:tcMar>
            <w:vAlign w:val="center"/>
          </w:tcPr>
          <w:p>
            <w:pPr>
              <w:pStyle w:val="MdTableCell"/>
            </w:pPr>
            <w:r>
              <w:t xml:space="preserve">HSE + Lifting/Formwork Supervisor release; audit within next shift.</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NC-3: Serious exposure / unauthorised SIMOPS</w:t>
            </w:r>
          </w:p>
        </w:tc>
        <w:tc>
          <w:tcPr>
            <w:tcMar>
              <w:top w:type="dxa" w:w="80"/>
              <w:left w:type="dxa" w:w="120"/>
              <w:bottom w:type="dxa" w:w="80"/>
              <w:right w:type="dxa" w:w="120"/>
            </w:tcMar>
            <w:vAlign w:val="center"/>
          </w:tcPr>
          <w:p>
            <w:pPr>
              <w:pStyle w:val="MdTableCell"/>
            </w:pPr>
            <w:r>
              <w:t xml:space="preserve">Personnel or active formwork workfront inside an active lift/fall zone; lifting directly above unprotected crew; crane/formwork activity begins without approved SIMOPS release; emergency route blocked during lift.</w:t>
            </w:r>
          </w:p>
        </w:tc>
        <w:tc>
          <w:tcPr>
            <w:tcMar>
              <w:top w:type="dxa" w:w="80"/>
              <w:left w:type="dxa" w:w="120"/>
              <w:bottom w:type="dxa" w:w="80"/>
              <w:right w:type="dxa" w:w="120"/>
            </w:tcMar>
            <w:vAlign w:val="center"/>
          </w:tcPr>
          <w:p>
            <w:pPr>
              <w:pStyle w:val="MdTableCell"/>
            </w:pPr>
            <w:r>
              <w:rPr>
                <w:rStyle w:val="MdStrong"/>
                <w:b/>
                <w:bCs/>
              </w:rPr>
              <w:t xml:space="preserve">Immediate all-stop</w:t>
            </w:r>
            <w:r>
              <w:t xml:space="preserve">, clear zone, suspend lift permit and affected PTWs; make safe and preserve evidence.</w:t>
            </w:r>
          </w:p>
        </w:tc>
        <w:tc>
          <w:tcPr>
            <w:tcMar>
              <w:top w:type="dxa" w:w="80"/>
              <w:left w:type="dxa" w:w="120"/>
              <w:bottom w:type="dxa" w:w="80"/>
              <w:right w:type="dxa" w:w="120"/>
            </w:tcMar>
            <w:vAlign w:val="center"/>
          </w:tcPr>
          <w:p>
            <w:pPr>
              <w:pStyle w:val="MdTableCell"/>
            </w:pPr>
            <w:r>
              <w:t xml:space="preserve">Notify Principal Contractor and relevant authority/permit contact as required; regulator may direct stop-work, inspection, investigation or sanction.</w:t>
            </w:r>
          </w:p>
        </w:tc>
        <w:tc>
          <w:tcPr>
            <w:tcMar>
              <w:top w:type="dxa" w:w="80"/>
              <w:left w:type="dxa" w:w="120"/>
              <w:bottom w:type="dxa" w:w="80"/>
              <w:right w:type="dxa" w:w="120"/>
            </w:tcMar>
            <w:vAlign w:val="center"/>
          </w:tcPr>
          <w:p>
            <w:pPr>
              <w:pStyle w:val="MdTableCell"/>
            </w:pPr>
            <w:r>
              <w:t xml:space="preserve">Major NCR; remove offending individual/crew from task pending competence review; recover reinspection/engineering/delay cost only if contract permits; consider formal contractual notice.</w:t>
            </w:r>
          </w:p>
        </w:tc>
        <w:tc>
          <w:tcPr>
            <w:tcBorders>
              <w:right w:val="none"/>
            </w:tcBorders>
            <w:tcMar>
              <w:top w:type="dxa" w:w="80"/>
              <w:left w:type="dxa" w:w="120"/>
              <w:bottom w:type="dxa" w:w="80"/>
              <w:right w:type="dxa" w:w="120"/>
            </w:tcMar>
            <w:vAlign w:val="center"/>
          </w:tcPr>
          <w:p>
            <w:pPr>
              <w:pStyle w:val="MdTableCell"/>
            </w:pPr>
            <w:r>
              <w:t xml:space="preserve">Joint appointed-person/formwork/SIMOPS revalidation; documented workforce reset; increased assurance sampling.</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NC-4: Wilful or repeated high-potential breach</w:t>
            </w:r>
          </w:p>
        </w:tc>
        <w:tc>
          <w:tcPr>
            <w:tcMar>
              <w:top w:type="dxa" w:w="80"/>
              <w:left w:type="dxa" w:w="120"/>
              <w:bottom w:type="dxa" w:w="80"/>
              <w:right w:type="dxa" w:w="120"/>
            </w:tcMar>
            <w:vAlign w:val="center"/>
          </w:tcPr>
          <w:p>
            <w:pPr>
              <w:pStyle w:val="MdTableCell"/>
            </w:pPr>
            <w:r>
              <w:t xml:space="preserve">Deliberate barrier removal, bypass of banksman/route marshal, lift after stop-work direction, repeated unauthorised SIMOPS, falsified checklist or permit record, or contractor refusal to comply.</w:t>
            </w:r>
          </w:p>
        </w:tc>
        <w:tc>
          <w:tcPr>
            <w:tcMar>
              <w:top w:type="dxa" w:w="80"/>
              <w:left w:type="dxa" w:w="120"/>
              <w:bottom w:type="dxa" w:w="80"/>
              <w:right w:type="dxa" w:w="120"/>
            </w:tcMar>
            <w:vAlign w:val="center"/>
          </w:tcPr>
          <w:p>
            <w:pPr>
              <w:pStyle w:val="MdTableCell"/>
            </w:pPr>
            <w:r>
              <w:t xml:space="preserve">Isolate and suspend contractor work scope; remove unauthorised persons from workface; retain records and notify client/developer.</w:t>
            </w:r>
          </w:p>
        </w:tc>
        <w:tc>
          <w:tcPr>
            <w:tcMar>
              <w:top w:type="dxa" w:w="80"/>
              <w:left w:type="dxa" w:w="120"/>
              <w:bottom w:type="dxa" w:w="80"/>
              <w:right w:type="dxa" w:w="120"/>
            </w:tcMar>
            <w:vAlign w:val="center"/>
          </w:tcPr>
          <w:p>
            <w:pPr>
              <w:pStyle w:val="MdTableCell"/>
            </w:pPr>
            <w:r>
              <w:t xml:space="preserve">Immediate regulatory escalation according to permit/SRA/development-zone route; authority may inspect, enforce and apply its statutory sanction.</w:t>
            </w:r>
          </w:p>
        </w:tc>
        <w:tc>
          <w:tcPr>
            <w:tcMar>
              <w:top w:type="dxa" w:w="80"/>
              <w:left w:type="dxa" w:w="120"/>
              <w:bottom w:type="dxa" w:w="80"/>
              <w:right w:type="dxa" w:w="120"/>
            </w:tcMar>
            <w:vAlign w:val="center"/>
          </w:tcPr>
          <w:p>
            <w:pPr>
              <w:pStyle w:val="MdTableCell"/>
            </w:pPr>
            <w:r>
              <w:t xml:space="preserve">Escalated NCR; suspension of responsible supervisor/crew from site pending review; written contractual default notice; recover third-party inspection, technical review and standby costs only where contract allows; pre-agreed liquidated deduction only if legal/contractual review confirms enforceability.</w:t>
            </w:r>
          </w:p>
        </w:tc>
        <w:tc>
          <w:tcPr>
            <w:tcBorders>
              <w:right w:val="none"/>
            </w:tcBorders>
            <w:tcMar>
              <w:top w:type="dxa" w:w="80"/>
              <w:left w:type="dxa" w:w="120"/>
              <w:bottom w:type="dxa" w:w="80"/>
              <w:right w:type="dxa" w:w="120"/>
            </w:tcMar>
            <w:vAlign w:val="center"/>
          </w:tcPr>
          <w:p>
            <w:pPr>
              <w:pStyle w:val="MdTableCell"/>
            </w:pPr>
            <w:r>
              <w:t xml:space="preserve">Senior management review; approved corrective-action plan; competence revalidation; return only after client/Principal Contractor acceptance.</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rPr>
                <w:rStyle w:val="MdStrong"/>
                <w:b/>
                <w:bCs/>
              </w:rPr>
              <w:t xml:space="preserve">NC-5: Incident, collapse or serious dangerous occurrence</w:t>
            </w:r>
          </w:p>
        </w:tc>
        <w:tc>
          <w:tcPr>
            <w:tcBorders>
              <w:bottom w:val="single" w:color="E1E4E8" w:sz="4"/>
            </w:tcBorders>
            <w:tcMar>
              <w:top w:type="dxa" w:w="80"/>
              <w:left w:type="dxa" w:w="120"/>
              <w:bottom w:type="dxa" w:w="80"/>
              <w:right w:type="dxa" w:w="120"/>
            </w:tcMar>
            <w:vAlign w:val="center"/>
          </w:tcPr>
          <w:p>
            <w:pPr>
              <w:pStyle w:val="MdTableCell"/>
            </w:pPr>
            <w:r>
              <w:t xml:space="preserve">Injury, LTI, fatality, contact/drop, formwork failure, crane incident, structural/excavation collapse, or any event requiring rescue or emergency-service response.</w:t>
            </w:r>
          </w:p>
        </w:tc>
        <w:tc>
          <w:tcPr>
            <w:tcBorders>
              <w:bottom w:val="single" w:color="E1E4E8" w:sz="4"/>
            </w:tcBorders>
            <w:tcMar>
              <w:top w:type="dxa" w:w="80"/>
              <w:left w:type="dxa" w:w="120"/>
              <w:bottom w:type="dxa" w:w="80"/>
              <w:right w:type="dxa" w:w="120"/>
            </w:tcMar>
            <w:vAlign w:val="center"/>
          </w:tcPr>
          <w:p>
            <w:pPr>
              <w:pStyle w:val="MdTableCell"/>
            </w:pPr>
            <w:r>
              <w:t xml:space="preserve">Emergency plan activation; all-stop; rescue; isolate; preserve scene; suspend affected permits and work fronts.</w:t>
            </w:r>
          </w:p>
        </w:tc>
        <w:tc>
          <w:tcPr>
            <w:tcBorders>
              <w:bottom w:val="single" w:color="E1E4E8" w:sz="4"/>
            </w:tcBorders>
            <w:tcMar>
              <w:top w:type="dxa" w:w="80"/>
              <w:left w:type="dxa" w:w="120"/>
              <w:bottom w:type="dxa" w:w="80"/>
              <w:right w:type="dxa" w:w="120"/>
            </w:tcMar>
            <w:vAlign w:val="center"/>
          </w:tcPr>
          <w:p>
            <w:pPr>
              <w:pStyle w:val="MdTableCell"/>
            </w:pPr>
            <w:r>
              <w:t xml:space="preserve">Follow statutory notifications, including Form G/Form G1 and federal/MOHRE/Police/SRA/municipal routes as applicable. Authority enforcement is determined after investigation.</w:t>
            </w:r>
          </w:p>
        </w:tc>
        <w:tc>
          <w:tcPr>
            <w:tcBorders>
              <w:bottom w:val="single" w:color="E1E4E8" w:sz="4"/>
            </w:tcBorders>
            <w:tcMar>
              <w:top w:type="dxa" w:w="80"/>
              <w:left w:type="dxa" w:w="120"/>
              <w:bottom w:type="dxa" w:w="80"/>
              <w:right w:type="dxa" w:w="120"/>
            </w:tcMar>
            <w:vAlign w:val="center"/>
          </w:tcPr>
          <w:p>
            <w:pPr>
              <w:pStyle w:val="MdTableCell"/>
            </w:pPr>
            <w:r>
              <w:t xml:space="preserve">No immediate punitive deduction should interfere with emergency response or statutory investigation. Apply contract remedies only after factual review, causation assessment, notice and contractual/legal review. Recoverable direct costs may include reinspection, engineering, remediation, damage and delay only where contract permits.</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Authority and technical release; formal investigation, lessons learned, SIMOPS redesign, drill/retraining and management reapproval.</w:t>
            </w:r>
          </w:p>
        </w:tc>
      </w:tr>
    </w:tbl>
    <w:p>
      <w:pPr>
        <w:pStyle w:val="Heading3"/>
        <w:pStyle w:val="MdHeading3"/>
      </w:pPr>
      <w:r>
        <w:t xml:space="preserve">8.2 Non-negotiable management actions for any NC-3 or higher event</w:t>
      </w: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t xml:space="preserve">Control</w:t>
            </w:r>
          </w:p>
        </w:tc>
        <w:tc>
          <w:tcPr>
            <w:tcBorders>
              <w:right w:val="none"/>
            </w:tcBorders>
            <w:tcMar>
              <w:top w:type="dxa" w:w="100"/>
              <w:left w:type="dxa" w:w="120"/>
              <w:bottom w:type="dxa" w:w="100"/>
              <w:right w:type="dxa" w:w="120"/>
            </w:tcMar>
            <w:vAlign w:val="center"/>
          </w:tcPr>
          <w:p>
            <w:pPr>
              <w:pStyle w:val="MdTableHeader"/>
            </w:pPr>
            <w:r>
              <w:t xml:space="preserve">Requirement</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Stop-work authority</w:t>
            </w:r>
          </w:p>
        </w:tc>
        <w:tc>
          <w:tcPr>
            <w:tcBorders>
              <w:right w:val="none"/>
            </w:tcBorders>
            <w:tcMar>
              <w:top w:type="dxa" w:w="80"/>
              <w:left w:type="dxa" w:w="120"/>
              <w:bottom w:type="dxa" w:w="80"/>
              <w:right w:type="dxa" w:w="120"/>
            </w:tcMar>
            <w:vAlign w:val="center"/>
          </w:tcPr>
          <w:p>
            <w:pPr>
              <w:pStyle w:val="MdTableCell"/>
            </w:pPr>
            <w:r>
              <w:t xml:space="preserve">Any worker may invoke stop-work for a lift/exclusion-zone or structural-risk concern. The Principal Contractor must support the stop and ensure the non-compliant party remains stopped until compliant. </w:t>
            </w:r>
            <w:hyperlink w:history="1" r:id="rIdu605ovzz3gkkazgtwncil">
              <w:r>
                <w:rPr>
                  <w:rStyle w:val="MdLink"/>
                </w:rPr>
                <w:t xml:space="preserve">2</w:t>
              </w:r>
            </w:hyperlink>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Permit control</w:t>
            </w:r>
          </w:p>
        </w:tc>
        <w:tc>
          <w:tcPr>
            <w:tcBorders>
              <w:right w:val="none"/>
            </w:tcBorders>
            <w:tcMar>
              <w:top w:type="dxa" w:w="80"/>
              <w:left w:type="dxa" w:w="120"/>
              <w:bottom w:type="dxa" w:w="80"/>
              <w:right w:type="dxa" w:w="120"/>
            </w:tcMar>
            <w:vAlign w:val="center"/>
          </w:tcPr>
          <w:p>
            <w:pPr>
              <w:pStyle w:val="MdTableCell"/>
            </w:pPr>
            <w:r>
              <w:t xml:space="preserve">Suspend the lift permit, excavation PTW, formwork release and linked SIMOPS release as applicable. Revalidation must be positive and written.</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Evidence</w:t>
            </w:r>
          </w:p>
        </w:tc>
        <w:tc>
          <w:tcPr>
            <w:tcBorders>
              <w:right w:val="none"/>
            </w:tcBorders>
            <w:tcMar>
              <w:top w:type="dxa" w:w="80"/>
              <w:left w:type="dxa" w:w="120"/>
              <w:bottom w:type="dxa" w:w="80"/>
              <w:right w:type="dxa" w:w="120"/>
            </w:tcMar>
            <w:vAlign w:val="center"/>
          </w:tcPr>
          <w:p>
            <w:pPr>
              <w:pStyle w:val="MdTableCell"/>
            </w:pPr>
            <w:r>
              <w:t xml:space="preserve">Retain the lift plan, permit, barrier record, radio log, CCTV, drawings, crew list, monitoring/dewatering status and photographs.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Technical review</w:t>
            </w:r>
          </w:p>
        </w:tc>
        <w:tc>
          <w:tcPr>
            <w:tcBorders>
              <w:right w:val="none"/>
            </w:tcBorders>
            <w:tcMar>
              <w:top w:type="dxa" w:w="80"/>
              <w:left w:type="dxa" w:w="120"/>
              <w:bottom w:type="dxa" w:w="80"/>
              <w:right w:type="dxa" w:w="120"/>
            </w:tcMar>
            <w:vAlign w:val="center"/>
          </w:tcPr>
          <w:p>
            <w:pPr>
              <w:pStyle w:val="MdTableCell"/>
            </w:pPr>
            <w:r>
              <w:t xml:space="preserve">Obtain review by the appointed person, temporary-works/structural authority and geotechnical/dewatering authority where the event could affect crane bearing, formwork/floor capacity, shoring, ground or water condition.</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Competency response</w:t>
            </w:r>
          </w:p>
        </w:tc>
        <w:tc>
          <w:tcPr>
            <w:tcBorders>
              <w:right w:val="none"/>
            </w:tcBorders>
            <w:tcMar>
              <w:top w:type="dxa" w:w="80"/>
              <w:left w:type="dxa" w:w="120"/>
              <w:bottom w:type="dxa" w:w="80"/>
              <w:right w:type="dxa" w:w="120"/>
            </w:tcMar>
            <w:vAlign w:val="center"/>
          </w:tcPr>
          <w:p>
            <w:pPr>
              <w:pStyle w:val="MdTableCell"/>
            </w:pPr>
            <w:r>
              <w:t xml:space="preserve">Reassess the crane operator, lifting supervisor, banksman, rigger, formwork supervisor and SIMOPS coordinator for competence, briefing and supervision failure before returning to the workface.</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rPr>
                <w:rStyle w:val="MdStrong"/>
                <w:b/>
                <w:bCs/>
              </w:rPr>
              <w:t xml:space="preserve">Corrective action</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Corrective action must address the system failure—planning, zone design, access control, route management, supervision, permit interface or schedule conflict—not merely retrain the individual.</w:t>
            </w:r>
          </w:p>
        </w:tc>
      </w:tr>
    </w:tbl>
    <w:p>
      <w:pPr>
        <w:pStyle w:val="Heading3"/>
        <w:pStyle w:val="MdHeading3"/>
      </w:pPr>
      <w:r>
        <w:t xml:space="preserve">8.3 Contract schedule fields to complete before adoption</w:t>
      </w:r>
    </w:p>
    <w:tbl>
      <w:tblPr>
        <w:tblStyle w:val="MdTable"/>
        <w:tblW w:type="pct" w:w="100%"/>
        <w:tblBorders>
          <w:top w:val="single" w:color="E1E4E8" w:sz="4"/>
          <w:left w:val="none"/>
          <w:bottom w:val="single" w:color="E1E4E8" w:sz="4"/>
          <w:right w:val="none"/>
          <w:insideH w:val="single" w:color="E1E4E8" w:sz="2"/>
          <w:insideV w:val="single" w:color="F6F8FA" w:sz="2"/>
        </w:tblBorders>
      </w:tblPr>
      <w:tblGrid>
        <w:gridCol w:w="100"/>
        <w:gridCol w:w="100"/>
      </w:tblGrid>
      <w:tr>
        <w:trPr>
          <w:cantSplit/>
          <w:tblHeader/>
          <w:trHeight w:val="720" w:hRule="atLeast"/>
        </w:trPr>
        <w:tc>
          <w:tcPr>
            <w:tcBorders>
              <w:left w:val="none"/>
            </w:tcBorders>
            <w:tcMar>
              <w:top w:type="dxa" w:w="100"/>
              <w:left w:type="dxa" w:w="120"/>
              <w:bottom w:type="dxa" w:w="100"/>
              <w:right w:type="dxa" w:w="120"/>
            </w:tcMar>
            <w:vAlign w:val="center"/>
          </w:tcPr>
          <w:p>
            <w:pPr>
              <w:pStyle w:val="MdTableHeader"/>
            </w:pPr>
            <w:r>
              <w:t xml:space="preserve">Contract field</w:t>
            </w:r>
          </w:p>
        </w:tc>
        <w:tc>
          <w:tcPr>
            <w:tcBorders>
              <w:right w:val="none"/>
            </w:tcBorders>
            <w:tcMar>
              <w:top w:type="dxa" w:w="100"/>
              <w:left w:type="dxa" w:w="120"/>
              <w:bottom w:type="dxa" w:w="100"/>
              <w:right w:type="dxa" w:w="120"/>
            </w:tcMar>
            <w:vAlign w:val="center"/>
          </w:tcPr>
          <w:p>
            <w:pPr>
              <w:pStyle w:val="MdTableHeader"/>
            </w:pPr>
            <w:r>
              <w:t xml:space="preserve">Project completion requirement</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Authority / client hierarchy</w:t>
            </w:r>
          </w:p>
        </w:tc>
        <w:tc>
          <w:tcPr>
            <w:tcBorders>
              <w:right w:val="none"/>
            </w:tcBorders>
            <w:tcMar>
              <w:top w:type="dxa" w:w="80"/>
              <w:left w:type="dxa" w:w="120"/>
              <w:bottom w:type="dxa" w:w="80"/>
              <w:right w:type="dxa" w:w="120"/>
            </w:tcMar>
            <w:vAlign w:val="center"/>
          </w:tcPr>
          <w:p>
            <w:pPr>
              <w:pStyle w:val="MdTableCell"/>
            </w:pPr>
            <w:r>
              <w:t xml:space="preserve">Identify the actual SRA, DMT/DM/development-zone permit contact, developer, consultant and Principal Contractor approval path.</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NCR classification</w:t>
            </w:r>
          </w:p>
        </w:tc>
        <w:tc>
          <w:tcPr>
            <w:tcBorders>
              <w:right w:val="none"/>
            </w:tcBorders>
            <w:tcMar>
              <w:top w:type="dxa" w:w="80"/>
              <w:left w:type="dxa" w:w="120"/>
              <w:bottom w:type="dxa" w:w="80"/>
              <w:right w:type="dxa" w:w="120"/>
            </w:tcMar>
            <w:vAlign w:val="center"/>
          </w:tcPr>
          <w:p>
            <w:pPr>
              <w:pStyle w:val="MdTableCell"/>
            </w:pPr>
            <w:r>
              <w:t xml:space="preserve">Map NC-1 to NC-5 to the existing project quality/HSE NCR procedure; do not create a competing process.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Cost recovery</w:t>
            </w:r>
          </w:p>
        </w:tc>
        <w:tc>
          <w:tcPr>
            <w:tcBorders>
              <w:right w:val="none"/>
            </w:tcBorders>
            <w:tcMar>
              <w:top w:type="dxa" w:w="80"/>
              <w:left w:type="dxa" w:w="120"/>
              <w:bottom w:type="dxa" w:w="80"/>
              <w:right w:type="dxa" w:w="120"/>
            </w:tcMar>
            <w:vAlign w:val="center"/>
          </w:tcPr>
          <w:p>
            <w:pPr>
              <w:pStyle w:val="MdTableCell"/>
            </w:pPr>
            <w:r>
              <w:t xml:space="preserve">Define the contract clause and basis for recovery of reinspection, engineering, standby, plant, remedial and third-party costs.</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Liquidated / contractual deductions</w:t>
            </w:r>
          </w:p>
        </w:tc>
        <w:tc>
          <w:tcPr>
            <w:tcBorders>
              <w:right w:val="none"/>
            </w:tcBorders>
            <w:tcMar>
              <w:top w:type="dxa" w:w="80"/>
              <w:left w:type="dxa" w:w="120"/>
              <w:bottom w:type="dxa" w:w="80"/>
              <w:right w:type="dxa" w:w="120"/>
            </w:tcMar>
            <w:vAlign w:val="center"/>
          </w:tcPr>
          <w:p>
            <w:pPr>
              <w:pStyle w:val="MdTableCell"/>
            </w:pPr>
            <w:r>
              <w:t xml:space="preserve">Insert only amounts and conditions reviewed/approved under the governing contract and UAE legal advice. Do not invent a municipal fine or apply an amount not contractually authorised.</w:t>
            </w:r>
          </w:p>
        </w:tc>
      </w:tr>
      <w:tr>
        <w:trPr>
          <w:cantSplit/>
          <w:trHeight w:val="576" w:hRule="atLeast"/>
        </w:trPr>
        <w:tc>
          <w:tcPr>
            <w:tcBorders>
              <w:left w:val="none"/>
            </w:tcBorders>
            <w:tcMar>
              <w:top w:type="dxa" w:w="80"/>
              <w:left w:type="dxa" w:w="120"/>
              <w:bottom w:type="dxa" w:w="80"/>
              <w:right w:type="dxa" w:w="120"/>
            </w:tcMar>
            <w:vAlign w:val="center"/>
          </w:tcPr>
          <w:p>
            <w:pPr>
              <w:pStyle w:val="MdTableCell"/>
            </w:pPr>
            <w:r>
              <w:rPr>
                <w:rStyle w:val="MdStrong"/>
                <w:b/>
                <w:bCs/>
              </w:rPr>
              <w:t xml:space="preserve">Personnel sanctions</w:t>
            </w:r>
          </w:p>
        </w:tc>
        <w:tc>
          <w:tcPr>
            <w:tcBorders>
              <w:right w:val="none"/>
            </w:tcBorders>
            <w:tcMar>
              <w:top w:type="dxa" w:w="80"/>
              <w:left w:type="dxa" w:w="120"/>
              <w:bottom w:type="dxa" w:w="80"/>
              <w:right w:type="dxa" w:w="120"/>
            </w:tcMar>
            <w:vAlign w:val="center"/>
          </w:tcPr>
          <w:p>
            <w:pPr>
              <w:pStyle w:val="MdTableCell"/>
            </w:pPr>
            <w:r>
              <w:t xml:space="preserve">Define suspension, removal, retraining and reauthorisation process consistently with employment law and project rules.</w:t>
            </w:r>
          </w:p>
        </w:tc>
      </w:tr>
      <w:tr>
        <w:trPr>
          <w:cantSplit/>
          <w:trHeight w:val="576" w:hRule="atLeast"/>
        </w:trPr>
        <w:tc>
          <w:tcPr>
            <w:tcBorders>
              <w:left w:val="none"/>
              <w:bottom w:val="single" w:color="E1E4E8" w:sz="4"/>
            </w:tcBorders>
            <w:tcMar>
              <w:top w:type="dxa" w:w="80"/>
              <w:left w:type="dxa" w:w="120"/>
              <w:bottom w:type="dxa" w:w="80"/>
              <w:right w:type="dxa" w:w="120"/>
            </w:tcMar>
            <w:vAlign w:val="center"/>
          </w:tcPr>
          <w:p>
            <w:pPr>
              <w:pStyle w:val="MdTableCell"/>
            </w:pPr>
            <w:r>
              <w:rPr>
                <w:rStyle w:val="MdStrong"/>
                <w:b/>
                <w:bCs/>
              </w:rPr>
              <w:t xml:space="preserve">Appeal / close-out</w:t>
            </w:r>
          </w:p>
        </w:tc>
        <w:tc>
          <w:tcPr>
            <w:tcBorders>
              <w:bottom w:val="single" w:color="E1E4E8" w:sz="4"/>
              <w:right w:val="none"/>
            </w:tcBorders>
            <w:tcMar>
              <w:top w:type="dxa" w:w="80"/>
              <w:left w:type="dxa" w:w="120"/>
              <w:bottom w:type="dxa" w:w="80"/>
              <w:right w:type="dxa" w:w="120"/>
            </w:tcMar>
            <w:vAlign w:val="center"/>
          </w:tcPr>
          <w:p>
            <w:pPr>
              <w:pStyle w:val="MdTableCell"/>
            </w:pPr>
            <w:r>
              <w:t xml:space="preserve">State notice, response time, review authority, evidence standards, dispute route and close-out verification.</w:t>
            </w:r>
          </w:p>
        </w:tc>
      </w:tr>
    </w:tbl>
    <w:p>
      <w:pPr>
        <w:pStyle w:val="Heading2"/>
        <w:pStyle w:val="MdHeading2"/>
      </w:pPr>
      <w:r>
        <w:t xml:space="preserve">References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720" w:hanging="360"/>
      </w:pPr>
    </w:lvl>
    <w:lvl w:ilvl="1" w15:tentative="1">
      <w:start w:val="1"/>
      <w:numFmt w:val="decimal"/>
      <w:lvlText w:val="%1.%2"/>
      <w:lvlJc w:val="left"/>
      <w:pPr>
        <w:ind w:left="1440" w:hanging="360"/>
      </w:pPr>
    </w:lvl>
    <w:lvl w:ilvl="2" w15:tentative="1">
      <w:start w:val="1"/>
      <w:numFmt w:val="decimal"/>
      <w:lvlText w:val="%1.%2.%3"/>
      <w:lvlJc w:val="left"/>
      <w:pPr>
        <w:ind w:left="2160" w:hanging="360"/>
      </w:pPr>
    </w:lvl>
    <w:lvl w:ilvl="3" w15:tentative="1">
      <w:start w:val="1"/>
      <w:numFmt w:val="decimal"/>
      <w:lvlText w:val="%4)"/>
      <w:lvlJc w:val="left"/>
      <w:pPr>
        <w:ind w:left="2880" w:hanging="360"/>
      </w:pPr>
    </w:lvl>
    <w:lvl w:ilvl="4" w15:tentative="1">
      <w:start w:val="1"/>
      <w:numFmt w:val="decimal"/>
      <w:lvlText w:val="%5)"/>
      <w:lvlJc w:val="left"/>
      <w:pPr>
        <w:ind w:left="3600" w:hanging="360"/>
      </w:pPr>
    </w:lvl>
    <w:lvl w:ilvl="5" w15:tentative="1">
      <w:start w:val="1"/>
      <w:numFmt w:val="decimal"/>
      <w:lvlText w:val="%6)"/>
      <w:lvlJc w:val="left"/>
      <w:pPr>
        <w:ind w:left="4320" w:hanging="360"/>
      </w:pPr>
    </w:lvl>
    <w:lvl w:ilvl="6" w15:tentative="1">
      <w:start w:val="1"/>
      <w:numFmt w:val="decimal"/>
      <w:lvlText w:val="%7)"/>
      <w:lvlJc w:val="left"/>
      <w:pPr>
        <w:ind w:left="5040" w:hanging="360"/>
      </w:pPr>
    </w:lvl>
    <w:lvl w:ilvl="7" w15:tentative="1">
      <w:start w:val="1"/>
      <w:numFmt w:val="decimal"/>
      <w:lvlText w:val="%8)"/>
      <w:lvlJc w:val="left"/>
      <w:pPr>
        <w:ind w:left="5760" w:hanging="360"/>
      </w:pPr>
    </w:lvl>
    <w:lvl w:ilvl="8" w15:tentative="1">
      <w:start w:val="1"/>
      <w:numFmt w:val="decimal"/>
      <w:lvlText w:val="%9)"/>
      <w:lvlJc w:val="left"/>
      <w:pPr>
        <w:ind w:left="6480" w:hanging="360"/>
      </w:pPr>
    </w:lvl>
  </w:abstractNum>
  <w:abstractNum w:abstractNumId="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4"/>
        <w:szCs w:val="24"/>
      </w:rPr>
    </w:rPrDefault>
    <w:pPrDefault>
      <w:pPr>
        <w:spacing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color="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MdSpace">
    <w:name w:val="MdSpace"/>
    <w:basedOn w:val="Normal"/>
    <w:next w:val="Normal"/>
    <w:qFormat/>
    <w:pPr>
      <w:spacing w:before="0" w:after="0"/>
    </w:pPr>
    <w:rPr>
      <w:sz w:val="12"/>
      <w:szCs w:val="12"/>
    </w:rPr>
  </w:style>
  <w:style w:type="paragraph" w:styleId="MdCode">
    <w:name w:val="MdCode"/>
    <w:basedOn w:val="Normal"/>
    <w:next w:val="Normal"/>
    <w:qFormat/>
    <w:pPr>
      <w:pBdr>
        <w:top w:val="single" w:color="A5A5A5" w:sz="1" w:space="8"/>
        <w:bottom w:val="single" w:color="A5A5A5" w:sz="1" w:space="8"/>
        <w:left w:val="single" w:color="A5A5A5" w:sz="1" w:space="8"/>
        <w:right w:val="single" w:color="A5A5A5" w:sz="1" w:space="8"/>
      </w:pBdr>
      <w:spacing w:before="200" w:after="200"/>
    </w:pPr>
    <w:rPr>
      <w:rFonts w:ascii="Courier New" w:cs="Courier New" w:eastAsia="Courier New" w:hAnsi="Courier New"/>
      <w:color w:val="70AD47"/>
      <w:sz w:val="22"/>
      <w:szCs w:val="22"/>
    </w:rPr>
  </w:style>
  <w:style w:type="paragraph" w:styleId="MdHr">
    <w:name w:val="MdHr"/>
    <w:basedOn w:val="Normal"/>
    <w:next w:val="Normal"/>
    <w:qFormat/>
    <w:pPr>
      <w:pBdr>
        <w:bottom w:val="single" w:color="A5A5A5" w:sz="1" w:space="1"/>
      </w:pBdr>
      <w:spacing w:before="240" w:after="240"/>
    </w:pPr>
  </w:style>
  <w:style w:type="paragraph" w:styleId="MdBlockquote">
    <w:name w:val="MdBlockquote"/>
    <w:basedOn w:val="Normal"/>
    <w:next w:val="Normal"/>
    <w:qFormat/>
    <w:pPr>
      <w:pBdr>
        <w:left w:val="single" w:color="A5A5A5" w:sz="20" w:space="12"/>
      </w:pBdr>
      <w:spacing w:before="200" w:after="200"/>
      <w:ind w:left="360"/>
    </w:pPr>
    <w:rPr>
      <w:i/>
      <w:iCs/>
      <w:color w:val="666666"/>
    </w:rPr>
  </w:style>
  <w:style w:type="paragraph" w:styleId="MdHtml">
    <w:name w:val="MdHtml"/>
    <w:basedOn w:val="Normal"/>
    <w:next w:val="Normal"/>
    <w:qFormat/>
    <w:rPr>
      <w:rFonts w:ascii="Courier New" w:cs="Courier New" w:eastAsia="Courier New" w:hAnsi="Courier New"/>
      <w:color w:val="ED7D31"/>
    </w:rPr>
  </w:style>
  <w:style w:type="paragraph" w:styleId="MdDef">
    <w:name w:val="MdDef"/>
    <w:basedOn w:val="Normal"/>
    <w:next w:val="Normal"/>
    <w:qFormat/>
    <w:pPr>
      <w:ind w:left="720" w:hanging="360"/>
    </w:pPr>
  </w:style>
  <w:style w:type="paragraph" w:styleId="MdParagraph">
    <w:name w:val="MdParagraph"/>
    <w:basedOn w:val="Normal"/>
    <w:next w:val="Normal"/>
    <w:qFormat/>
    <w:pPr>
      <w:spacing w:before="120" w:after="120"/>
    </w:pPr>
  </w:style>
  <w:style w:type="paragraph" w:styleId="MdText">
    <w:name w:val="MdText"/>
    <w:basedOn w:val="Normal"/>
    <w:next w:val="Normal"/>
    <w:qFormat/>
  </w:style>
  <w:style w:type="paragraph" w:styleId="MdFootnote">
    <w:name w:val="MdFootnote"/>
    <w:basedOn w:val="Normal"/>
    <w:next w:val="Normal"/>
    <w:qFormat/>
    <w:rPr>
      <w:vertAlign w:val="superscript"/>
    </w:rPr>
  </w:style>
  <w:style w:type="paragraph" w:styleId="MdListItem">
    <w:name w:val="MdListItem"/>
    <w:basedOn w:val="Normal"/>
    <w:next w:val="Normal"/>
    <w:qFormat/>
    <w:pPr>
      <w:spacing w:before="60" w:after="60"/>
      <w:ind w:left="720" w:hanging="360"/>
    </w:pPr>
  </w:style>
  <w:style w:type="paragraph" w:styleId="MdTable">
    <w:name w:val="MdTable"/>
    <w:basedOn w:val="Normal"/>
    <w:next w:val="Normal"/>
    <w:qFormat/>
    <w:pPr>
      <w:spacing w:before="60" w:after="60"/>
    </w:pPr>
  </w:style>
  <w:style w:type="paragraph" w:styleId="MdTableHeader">
    <w:name w:val="MdTableHeader"/>
    <w:basedOn w:val="Normal"/>
    <w:next w:val="Normal"/>
    <w:qFormat/>
    <w:pPr>
      <w:spacing w:before="60" w:after="60"/>
    </w:pPr>
    <w:rPr>
      <w:b/>
      <w:bCs/>
      <w:sz w:val="22"/>
      <w:szCs w:val="22"/>
    </w:rPr>
  </w:style>
  <w:style w:type="paragraph" w:styleId="MdTableCell">
    <w:name w:val="MdTableCell"/>
    <w:basedOn w:val="Normal"/>
    <w:next w:val="Normal"/>
    <w:qFormat/>
    <w:pPr>
      <w:spacing w:before="40" w:after="40"/>
    </w:pPr>
    <w:rPr>
      <w:sz w:val="20"/>
      <w:szCs w:val="20"/>
    </w:rPr>
  </w:style>
  <w:style w:type="paragraph" w:styleId="MdHeading1">
    <w:name w:val="MdHeading1"/>
    <w:basedOn w:val="Normal"/>
    <w:next w:val="Normal"/>
    <w:qFormat/>
    <w:pPr>
      <w:keepNext/>
      <w:spacing w:before="480" w:after="240"/>
      <w:outlineLvl w:val="0"/>
    </w:pPr>
    <w:rPr>
      <w:b/>
      <w:bCs/>
      <w:sz w:val="36"/>
      <w:szCs w:val="36"/>
    </w:rPr>
  </w:style>
  <w:style w:type="paragraph" w:styleId="MdHeading2">
    <w:name w:val="MdHeading2"/>
    <w:basedOn w:val="Normal"/>
    <w:next w:val="Normal"/>
    <w:qFormat/>
    <w:pPr>
      <w:keepNext/>
      <w:spacing w:before="400" w:after="200"/>
      <w:outlineLvl w:val="1"/>
    </w:pPr>
    <w:rPr>
      <w:b/>
      <w:bCs/>
      <w:sz w:val="32"/>
      <w:szCs w:val="32"/>
    </w:rPr>
  </w:style>
  <w:style w:type="paragraph" w:styleId="MdHeading3">
    <w:name w:val="MdHeading3"/>
    <w:basedOn w:val="Normal"/>
    <w:next w:val="Normal"/>
    <w:qFormat/>
    <w:pPr>
      <w:keepNext/>
      <w:spacing w:before="320" w:after="160"/>
      <w:outlineLvl w:val="2"/>
    </w:pPr>
    <w:rPr>
      <w:b/>
      <w:bCs/>
      <w:sz w:val="28"/>
      <w:szCs w:val="28"/>
    </w:rPr>
  </w:style>
  <w:style w:type="paragraph" w:styleId="MdHeading4">
    <w:name w:val="MdHeading4"/>
    <w:basedOn w:val="Normal"/>
    <w:next w:val="Normal"/>
    <w:qFormat/>
    <w:pPr>
      <w:keepNext/>
      <w:spacing w:before="280" w:after="140"/>
      <w:outlineLvl w:val="3"/>
    </w:pPr>
    <w:rPr>
      <w:b/>
      <w:bCs/>
      <w:sz w:val="26"/>
      <w:szCs w:val="26"/>
    </w:rPr>
  </w:style>
  <w:style w:type="paragraph" w:styleId="MdHeading5">
    <w:name w:val="MdHeading5"/>
    <w:basedOn w:val="Normal"/>
    <w:next w:val="Normal"/>
    <w:qFormat/>
    <w:pPr>
      <w:keepNext/>
      <w:spacing w:before="240" w:after="120"/>
      <w:outlineLvl w:val="4"/>
    </w:pPr>
    <w:rPr>
      <w:b/>
      <w:bCs/>
      <w:i/>
      <w:iCs/>
      <w:sz w:val="24"/>
      <w:szCs w:val="24"/>
    </w:rPr>
  </w:style>
  <w:style w:type="paragraph" w:styleId="MdHeading6">
    <w:name w:val="MdHeading6"/>
    <w:basedOn w:val="Normal"/>
    <w:next w:val="Normal"/>
    <w:qFormat/>
    <w:pPr>
      <w:keepNext/>
      <w:spacing w:before="240" w:after="120"/>
      <w:outlineLvl w:val="5"/>
    </w:pPr>
    <w:rPr>
      <w:b w:val="false"/>
      <w:bCs w:val="false"/>
      <w:i/>
      <w:iCs/>
      <w:sz w:val="24"/>
      <w:szCs w:val="24"/>
    </w:rPr>
  </w:style>
  <w:style w:type="character" w:styleId="MdTag">
    <w:name w:val="MdTag"/>
    <w:basedOn w:val="Normal"/>
    <w:next w:val="Normal"/>
    <w:uiPriority w:val="99"/>
    <w:unhideWhenUsed/>
    <w:qFormat/>
    <w:rPr>
      <w:rFonts w:ascii="Courier New" w:cs="Courier New" w:eastAsia="Courier New" w:hAnsi="Courier New"/>
      <w:color w:val="ED7D31"/>
    </w:rPr>
  </w:style>
  <w:style w:type="character" w:styleId="MdLink">
    <w:name w:val="MdLink"/>
    <w:basedOn w:val="Normal"/>
    <w:next w:val="Normal"/>
    <w:uiPriority w:val="99"/>
    <w:unhideWhenUsed/>
    <w:qFormat/>
    <w:rPr>
      <w:color w:val="0563C1"/>
      <w:u w:val="single"/>
    </w:rPr>
  </w:style>
  <w:style w:type="character" w:styleId="MdStrong">
    <w:name w:val="MdStrong"/>
    <w:basedOn w:val="Normal"/>
    <w:next w:val="Normal"/>
    <w:uiPriority w:val="99"/>
    <w:unhideWhenUsed/>
    <w:qFormat/>
    <w:rPr>
      <w:b/>
      <w:bCs/>
    </w:rPr>
  </w:style>
  <w:style w:type="character" w:styleId="MdEm">
    <w:name w:val="MdEm"/>
    <w:basedOn w:val="Normal"/>
    <w:next w:val="Normal"/>
    <w:uiPriority w:val="99"/>
    <w:unhideWhenUsed/>
    <w:qFormat/>
    <w:rPr>
      <w:i/>
      <w:iCs/>
    </w:rPr>
  </w:style>
  <w:style w:type="character" w:styleId="MdCodespan">
    <w:name w:val="MdCodespan"/>
    <w:basedOn w:val="Normal"/>
    <w:next w:val="Normal"/>
    <w:uiPriority w:val="99"/>
    <w:unhideWhenUsed/>
    <w:qFormat/>
    <w:rPr>
      <w:rFonts w:ascii="Courier New" w:cs="Courier New" w:eastAsia="Courier New" w:hAnsi="Courier New"/>
      <w:color w:val="70AD47"/>
    </w:rPr>
  </w:style>
  <w:style w:type="character" w:styleId="MdDel">
    <w:name w:val="MdDel"/>
    <w:basedOn w:val="Normal"/>
    <w:next w:val="Normal"/>
    <w:uiPriority w:val="99"/>
    <w:unhideWhenUsed/>
    <w:qFormat/>
    <w:rPr>
      <w:strike/>
    </w:rPr>
  </w:style>
  <w:style w:type="character" w:styleId="MdBr">
    <w:name w:val="MdBr"/>
    <w:basedOn w:val="Normal"/>
    <w:next w:val="Normal"/>
    <w:uiPriority w:val="99"/>
    <w:unhideWhenUsed/>
    <w:qFormat/>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5nuflvlsvyty1vrzszew1" Type="http://schemas.openxmlformats.org/officeDocument/2006/relationships/hyperlink" Target="https://www.adphc.gov.ae/Legislation/-/media/95BE43F5B9DA4C348C898B912934A98F.ashx" TargetMode="External"/><Relationship Id="rIdtoxwsi1f-geaxxgiuljpn" Type="http://schemas.openxmlformats.org/officeDocument/2006/relationships/hyperlink" Target="https://www.adphc.gov.ae/Legislation/-/media/95BE43F5B9DA4C348C898B912934A98F.ashx" TargetMode="External"/><Relationship Id="rIduh3tgf6h4vr7gww56opcy" Type="http://schemas.openxmlformats.org/officeDocument/2006/relationships/hyperlink" Target="https://www.adphc.gov.ae/Legislation/-/media/95BE43F5B9DA4C348C898B912934A98F.ashx" TargetMode="External"/><Relationship Id="rIdl5qehnzmds-ivkmq4bx_8" Type="http://schemas.openxmlformats.org/officeDocument/2006/relationships/hyperlink" Target="https://www.adphc.gov.ae/-/media/Project/ADPHC/ADPHC/PDF/OSHAD-SF/Codes-of-Practise/53---OSH-Management--Eng.pdf" TargetMode="External"/><Relationship Id="rIdu605ovzz3gkkazgtwncil" Type="http://schemas.openxmlformats.org/officeDocument/2006/relationships/hyperlink" Target="https://www.adphc.gov.ae/-/media/Project/ADPHC/ADPHC/PDF/OSHAD-SF/Codes-of-Practise/53---OSH-Management--Eng.pdf" TargetMode="External"/><Relationship Id="rId11"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Converted Document</dc:title>
  <dc:creator>md2docx converter</dc:creator>
  <dc:description>Converted from Markdown</dc:description>
  <cp:lastModifiedBy>Un-named</cp:lastModifiedBy>
  <cp:revision>1</cp:revision>
  <dcterms:created xsi:type="dcterms:W3CDTF">2026-08-09T05:50:06.840Z</dcterms:created>
  <dcterms:modified xsi:type="dcterms:W3CDTF">2026-08-09T05:50:06.840Z</dcterms:modified>
</cp:coreProperties>
</file>

<file path=docProps/custom.xml><?xml version="1.0" encoding="utf-8"?>
<Properties xmlns="http://schemas.openxmlformats.org/officeDocument/2006/custom-properties" xmlns:vt="http://schemas.openxmlformats.org/officeDocument/2006/docPropsVTypes"/>
</file>