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53B5B"/>
          <w:sz w:val="36"/>
        </w:rPr>
        <w:t>MOCK RESPONSE SIMULATION AND</w:t>
        <w:br/>
        <w:t>EMPLOYEE HEALTH SURVEILLANCE PROTOCOL</w:t>
      </w:r>
    </w:p>
    <w:p>
      <w:pPr>
        <w:jc w:val="center"/>
      </w:pPr>
      <w:r>
        <w:rPr>
          <w:rFonts w:ascii="Arial" w:hAnsi="Arial"/>
          <w:i/>
          <w:color w:val="555555"/>
          <w:sz w:val="20"/>
        </w:rPr>
        <w:t>Suspected Group A Foodborne Outbreak — First Two Hours | Remote UAE Camp</w:t>
      </w:r>
    </w:p>
    <w:tbl>
      <w:tblPr>
        <w:tblStyle w:val="TableGrid"/>
        <w:tblW w:type="auto" w:w="0"/>
        <w:jc w:val="center"/>
        <w:tblLook w:firstColumn="1" w:firstRow="1" w:lastColumn="0" w:lastRow="0" w:noHBand="0" w:noVBand="1" w:val="04A0"/>
      </w:tblPr>
      <w:tblGrid>
        <w:gridCol w:w="2714"/>
        <w:gridCol w:w="2714"/>
        <w:gridCol w:w="2714"/>
        <w:gridCol w:w="2714"/>
      </w:tblGrid>
      <w:tr>
        <w:tc>
          <w:tcPr>
            <w:tcW w:type="dxa" w:w="17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Document field</w:t>
            </w:r>
          </w:p>
        </w:tc>
        <w:tc>
          <w:tcPr>
            <w:tcW w:type="dxa" w:w="35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Detail</w:t>
            </w:r>
          </w:p>
        </w:tc>
        <w:tc>
          <w:tcPr>
            <w:tcW w:type="dxa" w:w="17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Document field</w:t>
            </w:r>
          </w:p>
        </w:tc>
        <w:tc>
          <w:tcPr>
            <w:tcW w:type="dxa" w:w="35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Detail</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Document ID</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IM-HS-DRILL-GB-A-001</w:t>
            </w:r>
          </w:p>
        </w:tc>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Revision</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00</w:t>
            </w:r>
          </w:p>
        </w:tc>
      </w:tr>
      <w:tr>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Owner</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Food Safety In-Charge / HSE Manager</w:t>
            </w:r>
          </w:p>
        </w:tc>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Review cycle</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After each drill or incident</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Applies to</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Remote camp kitchen, food service, water and ice supply</w:t>
            </w:r>
          </w:p>
        </w:tc>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Effective date</w:t>
            </w:r>
          </w:p>
        </w:tc>
        <w:tc>
          <w:tcPr>
            <w:tcW w:type="dxa" w:w="35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 date]</w:t>
            </w:r>
          </w:p>
        </w:tc>
      </w:tr>
      <w:tr>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Exercise type</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Tabletop / operational mock response</w:t>
            </w:r>
          </w:p>
        </w:tc>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Approval</w:t>
            </w:r>
          </w:p>
        </w:tc>
        <w:tc>
          <w:tcPr>
            <w:tcW w:type="dxa" w:w="35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[Authorised signatory]</w:t>
            </w:r>
          </w:p>
        </w:tc>
      </w:tr>
    </w:tbl>
    <w:p>
      <w:pPr>
        <w:spacing w:after="40"/>
      </w:pPr>
    </w:p>
    <w:tbl>
      <w:tblPr>
        <w:tblW w:type="auto" w:w="0"/>
        <w:jc w:val="center"/>
        <w:tblLook w:firstColumn="1" w:firstRow="1" w:lastColumn="0" w:lastRow="0" w:noHBand="0" w:noVBand="1" w:val="04A0"/>
      </w:tblPr>
      <w:tblGrid>
        <w:gridCol w:w="10858"/>
      </w:tblGrid>
      <w:tr>
        <w:tc>
          <w:tcPr>
            <w:tcW w:type="dxa" w:w="10858"/>
            <w:shd w:fill="FCE4D6"/>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Health and legal boundary: </w:t>
            </w:r>
            <w:r>
              <w:rPr>
                <w:rFonts w:ascii="Arial" w:hAnsi="Arial"/>
                <w:sz w:val="16"/>
              </w:rPr>
              <w:t>This is an operational mock-response and record-keeping draft, not a medical diagnosis or a substitute for health-authority instruction. A camp must not diagnose, self-classify a disease or set clinical return-to-work criteria independently. The competent clinician and Health Authority determine clinical care, isolation/quarantine and return conditions.</w:t>
            </w:r>
          </w:p>
        </w:tc>
      </w:tr>
    </w:tbl>
    <w:p>
      <w:pPr>
        <w:spacing w:before="140" w:after="60"/>
      </w:pPr>
      <w:r>
        <w:rPr>
          <w:rFonts w:ascii="Arial" w:hAnsi="Arial"/>
          <w:b/>
          <w:color w:val="153B5B"/>
          <w:sz w:val="28"/>
        </w:rPr>
        <w:t>1. Exercise Assumptions and Statutory Trigger</w:t>
      </w:r>
    </w:p>
    <w:tbl>
      <w:tblPr>
        <w:tblStyle w:val="TableGrid"/>
        <w:tblW w:type="auto" w:w="0"/>
        <w:jc w:val="center"/>
        <w:tblLook w:firstColumn="1" w:firstRow="1" w:lastColumn="0" w:lastRow="0" w:noHBand="0" w:noVBand="1" w:val="04A0"/>
      </w:tblPr>
      <w:tblGrid>
        <w:gridCol w:w="5429"/>
        <w:gridCol w:w="5429"/>
      </w:tblGrid>
      <w:tr>
        <w:tc>
          <w:tcPr>
            <w:tcW w:type="dxa" w:w="223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Item</w:t>
            </w:r>
          </w:p>
        </w:tc>
        <w:tc>
          <w:tcPr>
            <w:tcW w:type="dxa" w:w="820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Drill assumption / operating rule</w:t>
            </w:r>
          </w:p>
        </w:tc>
      </w:tr>
      <w:tr>
        <w:tc>
          <w:tcPr>
            <w:tcW w:type="dxa" w:w="223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Drill trigger</w:t>
            </w:r>
          </w:p>
        </w:tc>
        <w:tc>
          <w:tcPr>
            <w:tcW w:type="dxa" w:w="820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Two or more persons report acute gastrointestinal symptoms after a common meal; the scenario assumes a competent clinician or Health Authority has identified a possible Group A Schedule 1 communicable disease. This is a drill assumption only.</w:t>
            </w:r>
          </w:p>
        </w:tc>
      </w:tr>
      <w:tr>
        <w:tc>
          <w:tcPr>
            <w:tcW w:type="dxa" w:w="223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Notification principle</w:t>
            </w:r>
          </w:p>
        </w:tc>
        <w:tc>
          <w:tcPr>
            <w:tcW w:type="dxa" w:w="820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For a known/suspected Group A case, a camp manager must immediately notify the Ministry or nearest Health Authority. Medical professionals report within 24 hours through their affiliated authority. The camp operational target is immediate contact, not waiting for the statutory maximum.</w:t>
            </w:r>
          </w:p>
        </w:tc>
      </w:tr>
      <w:tr>
        <w:tc>
          <w:tcPr>
            <w:tcW w:type="dxa" w:w="223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Food safety parallel track</w:t>
            </w:r>
          </w:p>
        </w:tc>
        <w:tc>
          <w:tcPr>
            <w:tcW w:type="dxa" w:w="820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The Food Safety In-Charge notifies the competent food authority of food posing consumer-health risk, stops service, tracks affected food/water and starts withdrawal/recovery controls.</w:t>
            </w:r>
          </w:p>
        </w:tc>
      </w:tr>
      <w:tr>
        <w:tc>
          <w:tcPr>
            <w:tcW w:type="dxa" w:w="223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Medical escalation</w:t>
            </w:r>
          </w:p>
        </w:tc>
        <w:tc>
          <w:tcPr>
            <w:tcW w:type="dxa" w:w="820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For severe or life-threatening symptoms, call ambulance 998. Arrange clinical assessment promptly for affected persons. No employee is required to disclose unnecessary medical detail to kitchen management.</w:t>
            </w:r>
          </w:p>
        </w:tc>
      </w:tr>
      <w:tr>
        <w:tc>
          <w:tcPr>
            <w:tcW w:type="dxa" w:w="223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Evidence principle</w:t>
            </w:r>
          </w:p>
        </w:tc>
        <w:tc>
          <w:tcPr>
            <w:tcW w:type="dxa" w:w="820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Preserve suspect food, water, ice, packaging, labels, temperatures, menus and delivery records. Do not discard, relabel, clean away evidence or release held product without authority direction.</w:t>
            </w:r>
          </w:p>
        </w:tc>
      </w:tr>
    </w:tbl>
    <w:p>
      <w:pPr>
        <w:spacing w:after="40"/>
      </w:pPr>
    </w:p>
    <w:p>
      <w:pPr>
        <w:spacing w:before="140" w:after="60"/>
      </w:pPr>
      <w:r>
        <w:rPr>
          <w:rFonts w:ascii="Arial" w:hAnsi="Arial"/>
          <w:b/>
          <w:color w:val="153B5B"/>
          <w:sz w:val="28"/>
        </w:rPr>
        <w:t>2. Incident Command Roles for the Drill</w:t>
      </w:r>
    </w:p>
    <w:tbl>
      <w:tblPr>
        <w:tblStyle w:val="TableGrid"/>
        <w:tblW w:type="auto" w:w="0"/>
        <w:jc w:val="center"/>
        <w:tblLook w:firstColumn="1" w:firstRow="1" w:lastColumn="0" w:lastRow="0" w:noHBand="0" w:noVBand="1" w:val="04A0"/>
      </w:tblPr>
      <w:tblGrid>
        <w:gridCol w:w="3619"/>
        <w:gridCol w:w="3619"/>
        <w:gridCol w:w="3619"/>
      </w:tblGrid>
      <w:tr>
        <w:tc>
          <w:tcPr>
            <w:tcW w:type="dxa" w:w="187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Role</w:t>
            </w:r>
          </w:p>
        </w:tc>
        <w:tc>
          <w:tcPr>
            <w:tcW w:type="dxa" w:w="540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Primary responsibility in first two hours</w:t>
            </w:r>
          </w:p>
        </w:tc>
        <w:tc>
          <w:tcPr>
            <w:tcW w:type="dxa" w:w="316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Minimum evidence generated</w:t>
            </w:r>
          </w:p>
        </w:tc>
      </w:tr>
      <w:tr>
        <w:tc>
          <w:tcPr>
            <w:tcW w:type="dxa" w:w="18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Incident Lead / Camp Manager</w:t>
            </w:r>
          </w:p>
        </w:tc>
        <w:tc>
          <w:tcPr>
            <w:tcW w:type="dxa" w:w="54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Activates the plan; assures medical escalation; contacts Health Authority; directs resources and staff welfare.</w:t>
            </w:r>
          </w:p>
        </w:tc>
        <w:tc>
          <w:tcPr>
            <w:tcW w:type="dxa" w:w="31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Incident log, authority contact log, management decisions.</w:t>
            </w:r>
          </w:p>
        </w:tc>
      </w:tr>
      <w:tr>
        <w:tc>
          <w:tcPr>
            <w:tcW w:type="dxa" w:w="187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Food Safety In-Charge</w:t>
            </w:r>
          </w:p>
        </w:tc>
        <w:tc>
          <w:tcPr>
            <w:tcW w:type="dxa" w:w="540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Stops food service; isolates product/water/ice; secures trace-back records; contacts food authority; manages sampling readiness.</w:t>
            </w:r>
          </w:p>
        </w:tc>
        <w:tc>
          <w:tcPr>
            <w:tcW w:type="dxa" w:w="316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HOLD register, trace map, menu/batch file, photos, chain of custody.</w:t>
            </w:r>
          </w:p>
        </w:tc>
      </w:tr>
      <w:tr>
        <w:tc>
          <w:tcPr>
            <w:tcW w:type="dxa" w:w="18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Clinic / Medical Provider</w:t>
            </w:r>
          </w:p>
        </w:tc>
        <w:tc>
          <w:tcPr>
            <w:tcW w:type="dxa" w:w="54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Clinically assesses affected persons; uses health-facility reporting route; gives medical and public-health advice within competence.</w:t>
            </w:r>
          </w:p>
        </w:tc>
        <w:tc>
          <w:tcPr>
            <w:tcW w:type="dxa" w:w="31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Clinical documentation retained by provider; only necessary operational instruction shared.</w:t>
            </w:r>
          </w:p>
        </w:tc>
      </w:tr>
      <w:tr>
        <w:tc>
          <w:tcPr>
            <w:tcW w:type="dxa" w:w="187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HSE Manager</w:t>
            </w:r>
          </w:p>
        </w:tc>
        <w:tc>
          <w:tcPr>
            <w:tcW w:type="dxa" w:w="540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Supports site safety, transport/access, communications discipline, welfare and CAPA coordination.</w:t>
            </w:r>
          </w:p>
        </w:tc>
        <w:tc>
          <w:tcPr>
            <w:tcW w:type="dxa" w:w="316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HSE incident record, access/welfare log.</w:t>
            </w:r>
          </w:p>
        </w:tc>
      </w:tr>
      <w:tr>
        <w:tc>
          <w:tcPr>
            <w:tcW w:type="dxa" w:w="187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Catering Supervisor</w:t>
            </w:r>
          </w:p>
        </w:tc>
        <w:tc>
          <w:tcPr>
            <w:tcW w:type="dxa" w:w="54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Stops affected process; identifies food handlers/shifts; prevents unauthorised cleaning/disposal; supports evidence collection.</w:t>
            </w:r>
          </w:p>
        </w:tc>
        <w:tc>
          <w:tcPr>
            <w:tcW w:type="dxa" w:w="31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Staff roster, process status record, cleaning hold notice.</w:t>
            </w:r>
          </w:p>
        </w:tc>
      </w:tr>
      <w:tr>
        <w:tc>
          <w:tcPr>
            <w:tcW w:type="dxa" w:w="187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Procurement / Supplier Liaison</w:t>
            </w:r>
          </w:p>
        </w:tc>
        <w:tc>
          <w:tcPr>
            <w:tcW w:type="dxa" w:w="540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Contacts supplier/tanker under direction; obtains traceability/COA information; prevents unauthorised supplier recall action.</w:t>
            </w:r>
          </w:p>
        </w:tc>
        <w:tc>
          <w:tcPr>
            <w:tcW w:type="dxa" w:w="316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Supplier contact record, invoices, delivery/COA file.</w:t>
            </w:r>
          </w:p>
        </w:tc>
      </w:tr>
    </w:tbl>
    <w:p>
      <w:pPr>
        <w:spacing w:after="40"/>
      </w:pPr>
    </w:p>
    <w:p>
      <w:pPr>
        <w:spacing w:before="140" w:after="60"/>
      </w:pPr>
      <w:r>
        <w:rPr>
          <w:rFonts w:ascii="Arial" w:hAnsi="Arial"/>
          <w:b/>
          <w:color w:val="153B5B"/>
          <w:sz w:val="28"/>
        </w:rPr>
        <w:t>3. Step-by-Step Mock Response: First 120 Minutes</w:t>
      </w:r>
    </w:p>
    <w:tbl>
      <w:tblPr>
        <w:tblStyle w:val="TableGrid"/>
        <w:tblW w:type="auto" w:w="0"/>
        <w:jc w:val="center"/>
        <w:tblLook w:firstColumn="1" w:firstRow="1" w:lastColumn="0" w:lastRow="0" w:noHBand="0" w:noVBand="1" w:val="04A0"/>
      </w:tblPr>
      <w:tblGrid>
        <w:gridCol w:w="2714"/>
        <w:gridCol w:w="2714"/>
        <w:gridCol w:w="2714"/>
        <w:gridCol w:w="2714"/>
      </w:tblGrid>
      <w:tr>
        <w:tc>
          <w:tcPr>
            <w:tcW w:type="dxa" w:w="115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Time</w:t>
            </w:r>
          </w:p>
        </w:tc>
        <w:tc>
          <w:tcPr>
            <w:tcW w:type="dxa" w:w="165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Command intent</w:t>
            </w:r>
          </w:p>
        </w:tc>
        <w:tc>
          <w:tcPr>
            <w:tcW w:type="dxa" w:w="561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Step-by-step actions</w:t>
            </w:r>
          </w:p>
        </w:tc>
        <w:tc>
          <w:tcPr>
            <w:tcW w:type="dxa" w:w="208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Evidence / decision record</w:t>
            </w:r>
          </w:p>
        </w:tc>
      </w:tr>
      <w:tr>
        <w:tc>
          <w:tcPr>
            <w:tcW w:type="dxa" w:w="11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T+0–5 min</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Recognise and stabilise</w:t>
            </w:r>
          </w:p>
        </w:tc>
        <w:tc>
          <w:tcPr>
            <w:tcW w:type="dxa" w:w="56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Receive credible report; record time, location, people affected and common exposure. Stop the implicated meal/service immediately. Call 998 if severe symptoms, collapse, dehydration concern or clinician advice indicates emergency care. Nominate Incident Lead and Food Safety In-Charge.</w:t>
            </w:r>
          </w:p>
        </w:tc>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Initial incident log; service-stop instruction; emergency call record.</w:t>
            </w:r>
          </w:p>
        </w:tc>
      </w:tr>
      <w:tr>
        <w:tc>
          <w:tcPr>
            <w:tcW w:type="dxa" w:w="115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T+5–15 min</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Contain people and product</w:t>
            </w:r>
          </w:p>
        </w:tc>
        <w:tc>
          <w:tcPr>
            <w:tcW w:type="dxa" w:w="561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Separate symptomatic persons from food work and arrange clinical assessment. Place all suspect food, ingredients, water, ice, utensils and packaging on HOLD; label with date/time and prevent use. Stop dispatch/transfer of affected batches. Do not conduct deep cleaning of suspect areas before authority direction; maintain normal hygiene to protect unaffected operations where safe.</w:t>
            </w:r>
          </w:p>
        </w:tc>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HOLD tags/register; roster; initial exposure list; photographs.</w:t>
            </w:r>
          </w:p>
        </w:tc>
      </w:tr>
      <w:tr>
        <w:tc>
          <w:tcPr>
            <w:tcW w:type="dxa" w:w="11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T+15–30 min</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Notify and preserve</w:t>
            </w:r>
          </w:p>
        </w:tc>
        <w:tc>
          <w:tcPr>
            <w:tcW w:type="dxa" w:w="56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For the assumed Group A scenario, Camp Manager immediately contacts Ministry/nearest Health Authority and records instruction. Food Safety In-Charge notifies the relevant food authority. Alert client/employer per plan. Preserve menus, recipes, receiving/delivery notes, batch and temperature records, water/tanker/ice records and retained samples; freeze the record set against alteration.</w:t>
            </w:r>
          </w:p>
        </w:tc>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Notification log with time/name/reference; evidence index; traceability document lock.</w:t>
            </w:r>
          </w:p>
        </w:tc>
      </w:tr>
      <w:tr>
        <w:tc>
          <w:tcPr>
            <w:tcW w:type="dxa" w:w="115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T+30–45 min</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Trace exposure and secure source</w:t>
            </w:r>
          </w:p>
        </w:tc>
        <w:tc>
          <w:tcPr>
            <w:tcW w:type="dxa" w:w="561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Prepare a factual line list of persons, onset times and food/water/ice exposure. Map backward to suppliers, lots, water source/tanker/tank and forward to all meal recipients/destinations. Identify other meals/processes using the same ingredient/water/ice. Issue a controlled HOLD/withdrawal instruction to each recipient location.</w:t>
            </w:r>
          </w:p>
        </w:tc>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Line list; backward/forward trace map; withdrawal/recipient contacts.</w:t>
            </w:r>
          </w:p>
        </w:tc>
      </w:tr>
      <w:tr>
        <w:tc>
          <w:tcPr>
            <w:tcW w:type="dxa" w:w="11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T+45–60 min</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Support investigation readiness</w:t>
            </w:r>
          </w:p>
        </w:tc>
        <w:tc>
          <w:tcPr>
            <w:tcW w:type="dxa" w:w="56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Prepare a clean authority briefing: what happened, when, affected population, controls applied and products held. Secure samples under documented chain of custody if directed. Confirm no food/water/ice is discarded or relabelled. Arrange safe alternative food/water only through approved providers, subject to authority instruction.</w:t>
            </w:r>
          </w:p>
        </w:tc>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Authority briefing sheet; sample ID/custody record; alternative supply approval.</w:t>
            </w:r>
          </w:p>
        </w:tc>
      </w:tr>
      <w:tr>
        <w:tc>
          <w:tcPr>
            <w:tcW w:type="dxa" w:w="1152"/>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T+60–90 min</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Control staff and communications</w:t>
            </w:r>
          </w:p>
        </w:tc>
        <w:tc>
          <w:tcPr>
            <w:tcW w:type="dxa" w:w="561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Apply employee health surveillance: remove symptomatic food handlers from food tasks and prevent access pending medical/authority direction. Brief staff on confidentiality, hand hygiene and no public/media statements. Maintain access for Health Authority/food authority inspectors. Implement only instructions authorised by the Incident Lead or authority.</w:t>
            </w:r>
          </w:p>
        </w:tc>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Employee health log; restricted access list; staff briefing record; authority visit log.</w:t>
            </w:r>
          </w:p>
        </w:tc>
      </w:tr>
      <w:tr>
        <w:tc>
          <w:tcPr>
            <w:tcW w:type="dxa" w:w="11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T+90–120 min</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Consolidate and hand over</w:t>
            </w:r>
          </w:p>
        </w:tc>
        <w:tc>
          <w:tcPr>
            <w:tcW w:type="dxa" w:w="56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Update authorities/client as instructed. Complete food/water trace-back, inventory held and recipients reached. Record unresolved questions, next decision times, sampling/lab status and named owners. Do not restart the affected process until written/recorded authority and management conditions are met.</w:t>
            </w:r>
          </w:p>
        </w:tc>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Situation report; action tracker; product disposition status; next-update schedule.</w:t>
            </w:r>
          </w:p>
        </w:tc>
      </w:tr>
    </w:tbl>
    <w:p>
      <w:pPr>
        <w:spacing w:after="40"/>
      </w:pPr>
    </w:p>
    <w:p>
      <w:pPr>
        <w:spacing w:before="140" w:after="60"/>
      </w:pPr>
      <w:r>
        <w:rPr>
          <w:rFonts w:ascii="Arial" w:hAnsi="Arial"/>
          <w:b/>
          <w:color w:val="153B5B"/>
          <w:sz w:val="28"/>
        </w:rPr>
        <w:t>4. Mock Drill Decision Gates</w:t>
      </w:r>
    </w:p>
    <w:tbl>
      <w:tblPr>
        <w:tblStyle w:val="TableGrid"/>
        <w:tblW w:type="auto" w:w="0"/>
        <w:jc w:val="center"/>
        <w:tblLook w:firstColumn="1" w:firstRow="1" w:lastColumn="0" w:lastRow="0" w:noHBand="0" w:noVBand="1" w:val="04A0"/>
      </w:tblPr>
      <w:tblGrid>
        <w:gridCol w:w="3619"/>
        <w:gridCol w:w="3619"/>
        <w:gridCol w:w="3619"/>
      </w:tblGrid>
      <w:tr>
        <w:tc>
          <w:tcPr>
            <w:tcW w:type="dxa" w:w="17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Decision gate</w:t>
            </w:r>
          </w:p>
        </w:tc>
        <w:tc>
          <w:tcPr>
            <w:tcW w:type="dxa" w:w="612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Required affirmative condition before progressing</w:t>
            </w:r>
          </w:p>
        </w:tc>
        <w:tc>
          <w:tcPr>
            <w:tcW w:type="dxa" w:w="273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Authorisation / record</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Medical status</w:t>
            </w:r>
          </w:p>
        </w:tc>
        <w:tc>
          <w:tcPr>
            <w:tcW w:type="dxa" w:w="61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Affected persons have been triaged to the appropriate medical service; emergency escalation is not delayed by investigation work.</w:t>
            </w:r>
          </w:p>
        </w:tc>
        <w:tc>
          <w:tcPr>
            <w:tcW w:type="dxa" w:w="273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Clinic/medical-provider instruction and Camp Manager log.</w:t>
            </w:r>
          </w:p>
        </w:tc>
      </w:tr>
      <w:tr>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Authority contact</w:t>
            </w:r>
          </w:p>
        </w:tc>
        <w:tc>
          <w:tcPr>
            <w:tcW w:type="dxa" w:w="61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Immediate Group A health-authority contact and food-authority escalation are recorded; any reference number/instruction is captured.</w:t>
            </w:r>
          </w:p>
        </w:tc>
        <w:tc>
          <w:tcPr>
            <w:tcW w:type="dxa" w:w="273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Contact log.</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Product control</w:t>
            </w:r>
          </w:p>
        </w:tc>
        <w:tc>
          <w:tcPr>
            <w:tcW w:type="dxa" w:w="61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Suspect food/water/ice is physically segregated and traceable; no uncontrolled disposal, rework or transfer has occurred.</w:t>
            </w:r>
          </w:p>
        </w:tc>
        <w:tc>
          <w:tcPr>
            <w:tcW w:type="dxa" w:w="273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HOLD register and trace map.</w:t>
            </w:r>
          </w:p>
        </w:tc>
      </w:tr>
      <w:tr>
        <w:tc>
          <w:tcPr>
            <w:tcW w:type="dxa" w:w="172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Employee control</w:t>
            </w:r>
          </w:p>
        </w:tc>
        <w:tc>
          <w:tcPr>
            <w:tcW w:type="dxa" w:w="612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Symptomatic or potentially exposed food handlers have been removed from food work and referred as directed; privacy is protected.</w:t>
            </w:r>
          </w:p>
        </w:tc>
        <w:tc>
          <w:tcPr>
            <w:tcW w:type="dxa" w:w="273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Health surveillance/exclusion record.</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Restart gate</w:t>
            </w:r>
          </w:p>
        </w:tc>
        <w:tc>
          <w:tcPr>
            <w:tcW w:type="dxa" w:w="61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Only written/recorded authority and management conditions are met; corrective action and verification are documented.</w:t>
            </w:r>
          </w:p>
        </w:tc>
        <w:tc>
          <w:tcPr>
            <w:tcW w:type="dxa" w:w="273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Release/return-to-service authorisation.</w:t>
            </w:r>
          </w:p>
        </w:tc>
      </w:tr>
    </w:tbl>
    <w:p>
      <w:pPr>
        <w:spacing w:after="40"/>
      </w:pPr>
    </w:p>
    <w:p>
      <w:pPr>
        <w:spacing w:before="140" w:after="60"/>
      </w:pPr>
      <w:r>
        <w:rPr>
          <w:rFonts w:ascii="Arial" w:hAnsi="Arial"/>
          <w:b/>
          <w:color w:val="153B5B"/>
          <w:sz w:val="28"/>
        </w:rPr>
        <w:t>5. Employee Health Surveillance and Exclusion Protocol</w:t>
      </w:r>
    </w:p>
    <w:tbl>
      <w:tblPr>
        <w:tblW w:type="auto" w:w="0"/>
        <w:jc w:val="center"/>
        <w:tblLook w:firstColumn="1" w:firstRow="1" w:lastColumn="0" w:lastRow="0" w:noHBand="0" w:noVBand="1" w:val="04A0"/>
      </w:tblPr>
      <w:tblGrid>
        <w:gridCol w:w="10858"/>
      </w:tblGrid>
      <w:tr>
        <w:tc>
          <w:tcPr>
            <w:tcW w:type="dxa" w:w="10858"/>
            <w:shd w:fill="E2F0D9"/>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Control objective: </w:t>
            </w:r>
            <w:r>
              <w:rPr>
                <w:rFonts w:ascii="Arial" w:hAnsi="Arial"/>
                <w:sz w:val="16"/>
              </w:rPr>
              <w:t>Prevent potentially ill food handlers from working with food, clean equipment, utensils, ice or water systems while enabling prompt medical assessment, statutory notification and privacy-respecting follow-up. This protocol does not diagnose disease or replace clinician/Health Authority direction.</w:t>
            </w:r>
          </w:p>
        </w:tc>
      </w:tr>
    </w:tbl>
    <w:tbl>
      <w:tblPr>
        <w:tblStyle w:val="TableGrid"/>
        <w:tblW w:type="auto" w:w="0"/>
        <w:jc w:val="center"/>
        <w:tblLook w:firstColumn="1" w:firstRow="1" w:lastColumn="0" w:lastRow="0" w:noHBand="0" w:noVBand="1" w:val="04A0"/>
      </w:tblPr>
      <w:tblGrid>
        <w:gridCol w:w="5429"/>
        <w:gridCol w:w="5429"/>
      </w:tblGrid>
      <w:tr>
        <w:tc>
          <w:tcPr>
            <w:tcW w:type="dxa" w:w="208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Protocol stage</w:t>
            </w:r>
          </w:p>
        </w:tc>
        <w:tc>
          <w:tcPr>
            <w:tcW w:type="dxa" w:w="849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Detailed control</w:t>
            </w:r>
          </w:p>
        </w:tc>
      </w:tr>
      <w:tr>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 Daily surveillance</w:t>
            </w:r>
          </w:p>
        </w:tc>
        <w:tc>
          <w:tcPr>
            <w:tcW w:type="dxa" w:w="849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Before each shift, food handlers make a brief fitness declaration and report vomiting, diarrhoea, fever with gastrointestinal symptoms, jaundice, diagnosed communicable illness, medical restriction or relevant exposure directed by a clinician/Health Authority. Record the operational decision, not unnecessary clinical detail.</w:t>
            </w:r>
          </w:p>
        </w:tc>
      </w:tr>
      <w:tr>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B. Immediate symptom report</w:t>
            </w:r>
          </w:p>
        </w:tc>
        <w:tc>
          <w:tcPr>
            <w:tcW w:type="dxa" w:w="849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Employee informs supervisor immediately and stops food handling. Supervisor prevents further contact with food, utensils, clean equipment, ice and potable-water systems; records time and contacts Food Safety In-Charge.</w:t>
            </w:r>
          </w:p>
        </w:tc>
      </w:tr>
      <w:tr>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 Manager assessment</w:t>
            </w:r>
          </w:p>
        </w:tc>
        <w:tc>
          <w:tcPr>
            <w:tcW w:type="dxa" w:w="849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Camp Manager refers a suspected communicable-disease case to the competent physician and receives a health-status report. If infection is proved, immediately inform Ministry/Health Body and apply the conditions set by the authority.</w:t>
            </w:r>
          </w:p>
        </w:tc>
      </w:tr>
      <w:tr>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 Restriction / exclusion</w:t>
            </w:r>
          </w:p>
        </w:tc>
        <w:tc>
          <w:tcPr>
            <w:tcW w:type="dxa" w:w="849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Use the least medical-invasive operational control pending direction: restriction from food work/food areas for a reported illness or exposure; exclusion from site/work if directed by clinician or Health Authority. Do not set a universal return interval in this document.</w:t>
            </w:r>
          </w:p>
        </w:tc>
      </w:tr>
      <w:tr>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 Cluster surveillance</w:t>
            </w:r>
          </w:p>
        </w:tc>
        <w:tc>
          <w:tcPr>
            <w:tcW w:type="dxa" w:w="849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Create a protected line list; identify food handlers, kitchen support workers and water/ice personnel; monitor reports and follow the Health Authority’s scope, testing, contact and isolation/quarantine instructions.</w:t>
            </w:r>
          </w:p>
        </w:tc>
      </w:tr>
      <w:tr>
        <w:tc>
          <w:tcPr>
            <w:tcW w:type="dxa" w:w="20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 Return to work</w:t>
            </w:r>
          </w:p>
        </w:tc>
        <w:tc>
          <w:tcPr>
            <w:tcW w:type="dxa" w:w="849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Do not accept a confirmed infected person back into the facility until all conditions prescribed by the Ministry/Health Body have been met. Capture the authorised release reference and re-induct the employee on hygiene/food-safety controls.</w:t>
            </w:r>
          </w:p>
        </w:tc>
      </w:tr>
      <w:tr>
        <w:tc>
          <w:tcPr>
            <w:tcW w:type="dxa" w:w="20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G. Confidentiality</w:t>
            </w:r>
          </w:p>
        </w:tc>
        <w:tc>
          <w:tcPr>
            <w:tcW w:type="dxa" w:w="849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Limit medical information to authorised health/HR/incident roles; maintain a separate confidential medical record where required. The kitchen audit file should show the operational fitness decision, not medical diagnosis details.</w:t>
            </w:r>
          </w:p>
        </w:tc>
      </w:tr>
    </w:tbl>
    <w:p>
      <w:pPr>
        <w:spacing w:after="40"/>
      </w:pPr>
    </w:p>
    <w:p>
      <w:pPr>
        <w:spacing w:before="140" w:after="60"/>
      </w:pPr>
      <w:r>
        <w:rPr>
          <w:rFonts w:ascii="Arial" w:hAnsi="Arial"/>
          <w:b/>
          <w:color w:val="153B5B"/>
          <w:sz w:val="28"/>
        </w:rPr>
        <w:t>6. Detailed Employee Health Surveillance and Exclusion Checklist</w:t>
      </w:r>
    </w:p>
    <w:tbl>
      <w:tblPr>
        <w:tblStyle w:val="TableGrid"/>
        <w:tblW w:type="auto" w:w="0"/>
        <w:jc w:val="center"/>
        <w:tblLook w:firstColumn="1" w:firstRow="1" w:lastColumn="0" w:lastRow="0" w:noHBand="0" w:noVBand="1" w:val="04A0"/>
      </w:tblPr>
      <w:tblGrid>
        <w:gridCol w:w="2714"/>
        <w:gridCol w:w="2714"/>
        <w:gridCol w:w="2714"/>
        <w:gridCol w:w="2714"/>
      </w:tblGrid>
      <w:tr>
        <w:tc>
          <w:tcPr>
            <w:tcW w:type="dxa" w:w="144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Area</w:t>
            </w:r>
          </w:p>
        </w:tc>
        <w:tc>
          <w:tcPr>
            <w:tcW w:type="dxa" w:w="604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Verification point</w:t>
            </w:r>
          </w:p>
        </w:tc>
        <w:tc>
          <w:tcPr>
            <w:tcW w:type="dxa" w:w="165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Status</w:t>
            </w:r>
          </w:p>
        </w:tc>
        <w:tc>
          <w:tcPr>
            <w:tcW w:type="dxa" w:w="244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Evidence / finding</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Governance</w:t>
            </w:r>
          </w:p>
        </w:tc>
        <w:tc>
          <w:tcPr>
            <w:tcW w:type="dxa" w:w="60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Named Food Safety In-Charge, clinic contact, HR focal point and alternates available 24/7.</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Name / contact list verified.</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Daily declaration</w:t>
            </w:r>
          </w:p>
        </w:tc>
        <w:tc>
          <w:tcPr>
            <w:tcW w:type="dxa" w:w="60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Pre-shift food-handler fitness declaration completed and exceptions escalated.</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Daily register / privacy-controlled exception log.</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Symptom trigger</w:t>
            </w:r>
          </w:p>
        </w:tc>
        <w:tc>
          <w:tcPr>
            <w:tcW w:type="dxa" w:w="60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 worker reporting gastrointestinal symptoms or directed exposure stopped food work immediately.</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Time, supervisor, work stopped.</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Restriction controls</w:t>
            </w:r>
          </w:p>
        </w:tc>
        <w:tc>
          <w:tcPr>
            <w:tcW w:type="dxa" w:w="60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Worker was prevented from handling food, ice, water, clean equipment or utensils pending clinical/authority direction.</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Restriction/exclusion register.</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Clinical referral</w:t>
            </w:r>
          </w:p>
        </w:tc>
        <w:tc>
          <w:tcPr>
            <w:tcW w:type="dxa" w:w="60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Suspected communicable-disease case referred to competent physician; management received appropriate fitness instruction.</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Referral / fitness decision reference.</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Statutory escalation</w:t>
            </w:r>
          </w:p>
        </w:tc>
        <w:tc>
          <w:tcPr>
            <w:tcW w:type="dxa" w:w="60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For a Group A known/suspected case, manager notification to Ministry/nearest Health Authority was immediate and recorded.</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Authority contact/refer. no.</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Cluster line list</w:t>
            </w:r>
          </w:p>
        </w:tc>
        <w:tc>
          <w:tcPr>
            <w:tcW w:type="dxa" w:w="60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Protected list records only necessary operational exposure facts, onset timing and status; access controlled.</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Confidential line list.</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Contacts / work allocation</w:t>
            </w:r>
          </w:p>
        </w:tc>
        <w:tc>
          <w:tcPr>
            <w:tcW w:type="dxa" w:w="60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Affected kitchen shifts, water/ice staff and relevant contacts identified; authority directions implemented.</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Roster and action log.</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Hygiene reinforcement</w:t>
            </w:r>
          </w:p>
        </w:tc>
        <w:tc>
          <w:tcPr>
            <w:tcW w:type="dxa" w:w="60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Hand hygiene, toilet availability, cleaning controls and staff briefing completed without destroying evidence.</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Briefing and cleaning-control record.</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Return authorisation</w:t>
            </w:r>
          </w:p>
        </w:tc>
        <w:tc>
          <w:tcPr>
            <w:tcW w:type="dxa" w:w="60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Return-to-work decision is consistent with clinician/Health Authority conditions; re-induction completed.</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Return clearance reference.</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Records and privacy</w:t>
            </w:r>
          </w:p>
        </w:tc>
        <w:tc>
          <w:tcPr>
            <w:tcW w:type="dxa" w:w="60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Operational records completed; medical details held confidentially and only shared on need-to-know basis.</w:t>
            </w:r>
          </w:p>
        </w:tc>
        <w:tc>
          <w:tcPr>
            <w:tcW w:type="dxa" w:w="16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File location/access control.</w:t>
            </w:r>
          </w:p>
        </w:tc>
      </w:tr>
      <w:tr>
        <w:tc>
          <w:tcPr>
            <w:tcW w:type="dxa" w:w="1440"/>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Post-event verification</w:t>
            </w:r>
          </w:p>
        </w:tc>
        <w:tc>
          <w:tcPr>
            <w:tcW w:type="dxa" w:w="60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CAPA identifies system cause; effectiveness is checked before normal service resumes.</w:t>
            </w:r>
          </w:p>
        </w:tc>
        <w:tc>
          <w:tcPr>
            <w:tcW w:type="dxa" w:w="16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 Yes  □ No  □ NA</w:t>
            </w:r>
          </w:p>
        </w:tc>
        <w:tc>
          <w:tcPr>
            <w:tcW w:type="dxa" w:w="24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CAPA/effectiveness record.</w:t>
            </w:r>
          </w:p>
        </w:tc>
      </w:tr>
    </w:tbl>
    <w:p>
      <w:pPr>
        <w:spacing w:after="40"/>
      </w:pPr>
    </w:p>
    <w:p>
      <w:pPr>
        <w:spacing w:before="140" w:after="60"/>
      </w:pPr>
      <w:r>
        <w:rPr>
          <w:rFonts w:ascii="Arial" w:hAnsi="Arial"/>
          <w:b/>
          <w:color w:val="153B5B"/>
          <w:sz w:val="28"/>
        </w:rPr>
        <w:t>7. References and Legal Boundary</w:t>
      </w:r>
    </w:p>
    <w:tbl>
      <w:tblPr>
        <w:tblStyle w:val="TableGrid"/>
        <w:tblW w:type="auto" w:w="0"/>
        <w:jc w:val="center"/>
        <w:tblLook w:firstColumn="1" w:firstRow="1" w:lastColumn="0" w:lastRow="0" w:noHBand="0" w:noVBand="1" w:val="04A0"/>
      </w:tblPr>
      <w:tblGrid>
        <w:gridCol w:w="3619"/>
        <w:gridCol w:w="3619"/>
        <w:gridCol w:w="3619"/>
      </w:tblGrid>
      <w:tr>
        <w:tc>
          <w:tcPr>
            <w:tcW w:type="dxa" w:w="64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Ref.</w:t>
            </w:r>
          </w:p>
        </w:tc>
        <w:tc>
          <w:tcPr>
            <w:tcW w:type="dxa" w:w="568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Authority / relevance</w:t>
            </w:r>
          </w:p>
        </w:tc>
        <w:tc>
          <w:tcPr>
            <w:tcW w:type="dxa" w:w="525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Source</w:t>
            </w:r>
          </w:p>
        </w:tc>
      </w:tr>
      <w:tr>
        <w:tc>
          <w:tcPr>
            <w:tcW w:type="dxa" w:w="6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[1]</w:t>
            </w:r>
          </w:p>
        </w:tc>
        <w:tc>
          <w:tcPr>
            <w:tcW w:type="dxa" w:w="56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Federal Law No. 14 of 2014 on Control of Communicable Diseases — Articles 4, 5, 7, 10 and 12; Articles 36 and 44.</w:t>
            </w:r>
          </w:p>
        </w:tc>
        <w:tc>
          <w:tcPr>
            <w:tcW w:type="dxa" w:w="52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https://uaelegislation.gov.ae/en/legislations/1198</w:t>
            </w:r>
          </w:p>
        </w:tc>
      </w:tr>
      <w:tr>
        <w:tc>
          <w:tcPr>
            <w:tcW w:type="dxa" w:w="6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[2]</w:t>
            </w:r>
          </w:p>
        </w:tc>
        <w:tc>
          <w:tcPr>
            <w:tcW w:type="dxa" w:w="56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Cabinet Resolution No. 33 of 2016, Executive Regulations — Articles 2 and 3 (reporting routes and forms).</w:t>
            </w:r>
          </w:p>
        </w:tc>
        <w:tc>
          <w:tcPr>
            <w:tcW w:type="dxa" w:w="52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https://uaelegislation.gov.ae/en/legislations/1197</w:t>
            </w:r>
          </w:p>
        </w:tc>
      </w:tr>
      <w:tr>
        <w:tc>
          <w:tcPr>
            <w:tcW w:type="dxa" w:w="64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[3]</w:t>
            </w:r>
          </w:p>
        </w:tc>
        <w:tc>
          <w:tcPr>
            <w:tcW w:type="dxa" w:w="568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Federal Law No. 10 of 2015 Concerning Food Safety — officer responsibilities, notification, tracking, withdrawal/recovery and records.</w:t>
            </w:r>
          </w:p>
        </w:tc>
        <w:tc>
          <w:tcPr>
            <w:tcW w:type="dxa" w:w="525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https://uaelegislation.gov.ae/en/legislations/1161</w:t>
            </w:r>
          </w:p>
        </w:tc>
      </w:tr>
      <w:tr>
        <w:tc>
          <w:tcPr>
            <w:tcW w:type="dxa" w:w="64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[4]</w:t>
            </w:r>
          </w:p>
        </w:tc>
        <w:tc>
          <w:tcPr>
            <w:tcW w:type="dxa" w:w="5688"/>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UAE Government emergency guidance — emergency medical number 998 and food safety contact guidance.</w:t>
            </w:r>
          </w:p>
        </w:tc>
        <w:tc>
          <w:tcPr>
            <w:tcW w:type="dxa" w:w="5256"/>
            <w:vAlign w:val="center"/>
            <w:shd w:fill="F7FAFC"/>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https://u.ae/en/information-and-services/justice-safety-and-the-law/handling-emergencies</w:t>
            </w:r>
          </w:p>
        </w:tc>
      </w:tr>
    </w:tbl>
    <w:p>
      <w:pPr>
        <w:spacing w:after="40"/>
      </w:pPr>
    </w:p>
    <w:tbl>
      <w:tblPr>
        <w:tblW w:type="auto" w:w="0"/>
        <w:jc w:val="center"/>
        <w:tblLook w:firstColumn="1" w:firstRow="1" w:lastColumn="0" w:lastRow="0" w:noHBand="0" w:noVBand="1" w:val="04A0"/>
      </w:tblPr>
      <w:tblGrid>
        <w:gridCol w:w="10858"/>
      </w:tblGrid>
      <w:tr>
        <w:tc>
          <w:tcPr>
            <w:tcW w:type="dxa" w:w="10858"/>
            <w:shd w:fill="FCE4D6"/>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Implementation limitation: </w:t>
            </w:r>
            <w:r>
              <w:rPr>
                <w:rFonts w:ascii="Arial" w:hAnsi="Arial"/>
                <w:sz w:val="16"/>
              </w:rPr>
              <w:t>Populate the camp contact list, emirate food-authority route, client escalation requirements and approved HACCP critical limits before use. Seek prompt clinical and Health Authority direction during any actual illness cluster. This document does not prescribe diagnosis, laboratory testing, medication, isolation duration or a fixed symptom-free return interval.</w:t>
            </w:r>
          </w:p>
        </w:tc>
      </w:tr>
    </w:tbl>
    <w:sectPr w:rsidR="00FC693F" w:rsidRPr="0006063C" w:rsidSect="00034616">
      <w:headerReference w:type="default" r:id="rId9"/>
      <w:footerReference w:type="default" r:id="rId10"/>
      <w:pgSz w:w="12240" w:h="15840"/>
      <w:pgMar w:top="691" w:right="691" w:bottom="648"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4"/>
      </w:rPr>
      <w:t xml:space="preserve">Mock response and employee health protocol | Controlled copy | Page </w:t>
    </w:r>
    <w:fldChar w:fldCharType="begin"/>
    <w:instrText xml:space="preserve">PAGE</w:instrText>
    <w:fldChar w:fldCharType="end"/>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256"/>
      <w:gridCol w:w="5256"/>
    </w:tblGrid>
    <w:tr>
      <w:tc>
        <w:tcPr>
          <w:tcW w:type="dxa" w:w="5256"/>
          <w:shd w:fill="153B5B"/>
          <w:vAlign w:val="center"/>
        </w:tcPr>
        <w:p>
          <w:pPr>
            <w:spacing w:after="0"/>
          </w:pPr>
          <w:r/>
          <w:r>
            <w:rPr>
              <w:rFonts w:ascii="Arial" w:hAnsi="Arial"/>
              <w:b/>
              <w:color w:val="FFFFFF"/>
              <w:sz w:val="14"/>
            </w:rPr>
            <w:t>REMOTE CAMP KITCHEN — GROUP A OUTBREAK MOCK RESPONSE</w:t>
          </w:r>
        </w:p>
      </w:tc>
      <w:tc>
        <w:tcPr>
          <w:tcW w:type="dxa" w:w="5256"/>
          <w:shd w:fill="008C95"/>
          <w:vAlign w:val="center"/>
        </w:tcPr>
        <w:p>
          <w:pPr>
            <w:spacing w:after="0"/>
          </w:pPr>
          <w:r/>
          <w:r>
            <w:rPr>
              <w:rFonts w:ascii="Arial" w:hAnsi="Arial"/>
              <w:b/>
              <w:color w:val="FFFFFF"/>
              <w:sz w:val="14"/>
            </w:rPr>
            <w:t>INTERMASS WORKING DOCUMENT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