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9" w:name="no-evidence-gap"/>
    <w:p>
      <w:pPr>
        <w:pStyle w:val="Heading1"/>
      </w:pPr>
      <w:r>
        <w:t xml:space="preserve">1 - No Evidence Gap</w:t>
      </w:r>
    </w:p>
    <w:p>
      <w:pPr>
        <w:pStyle w:val="FirstParagraph"/>
      </w:pPr>
      <w:r>
        <w:t xml:space="preserve">Lower-basement SIMOPS leaves zero room for assumptions. Every shift, lift, pour, and support change demands verified evidence before we give the green light.</w:t>
      </w:r>
    </w:p>
    <w:p>
      <w:pPr>
        <w:pStyle w:val="BodyText"/>
      </w:pPr>
      <w:r>
        <w:t xml:space="preserve">No work beneath suspended loads, no release based on incomplete NDT, and zero tolerance for unplanned rescue means. Command the workface, verify the data, and release only when it is safe.</w:t>
      </w:r>
    </w:p>
    <w:p>
      <w:pPr>
        <w:pStyle w:val="BodyText"/>
      </w:pPr>
      <w:r>
        <w:t xml:space="preserve">That is our standard from top to bottom. Let’s get out to the field and execute it.</w:t>
      </w:r>
    </w:p>
    <w:bookmarkEnd w:id="9"/>
    <w:bookmarkStart w:id="10" w:name="the-dashboard-makes-holds-visible"/>
    <w:p>
      <w:pPr>
        <w:pStyle w:val="Heading1"/>
      </w:pPr>
      <w:r>
        <w:t xml:space="preserve">2 - The Dashboard Makes Holds Visible</w:t>
      </w:r>
    </w:p>
    <w:p>
      <w:pPr>
        <w:pStyle w:val="FirstParagraph"/>
      </w:pPr>
      <w:r>
        <w:t xml:space="preserve">You can’t manage complex lower-basement interfaces with guesswork. The dashboard pulls our permits, monitoring, and emergency readiness into one shared view so holds are instantly visible.</w:t>
      </w:r>
    </w:p>
    <w:p>
      <w:pPr>
        <w:pStyle w:val="BodyText"/>
      </w:pPr>
      <w:r>
        <w:t xml:space="preserve">Pending status means unassessed, not approved. Every required item needs actual field evidence before work proceeds. If one critical interface holds, the whole activity stays locked out.</w:t>
      </w:r>
    </w:p>
    <w:p>
      <w:pPr>
        <w:pStyle w:val="BodyText"/>
      </w:pPr>
      <w:r>
        <w:t xml:space="preserve">And that visibility directly informs our final standard on documentation and closeout.</w:t>
      </w:r>
    </w:p>
    <w:bookmarkEnd w:id="10"/>
    <w:bookmarkStart w:id="11" w:name="every-supervisor-has-an-emergency-role"/>
    <w:p>
      <w:pPr>
        <w:pStyle w:val="Heading1"/>
      </w:pPr>
      <w:r>
        <w:t xml:space="preserve">3 - Every Supervisor Has an Emergency Role</w:t>
      </w:r>
    </w:p>
    <w:p>
      <w:pPr>
        <w:pStyle w:val="FirstParagraph"/>
      </w:pPr>
      <w:r>
        <w:t xml:space="preserve">When an incident occurs in a deep excavation, every supervisor must instantly shift from production to a defined emergency role.</w:t>
      </w:r>
    </w:p>
    <w:p>
      <w:pPr>
        <w:pStyle w:val="BodyText"/>
      </w:pPr>
      <w:r>
        <w:t xml:space="preserve">One Incident Controller commands the entire workface, while specialist supervisors secure their own hazards before reporting in. Lifting, concrete, dewatering, and HSE leads execute specific containment steps to protect the evacuation path.</w:t>
      </w:r>
    </w:p>
    <w:p>
      <w:pPr>
        <w:pStyle w:val="BodyText"/>
      </w:pPr>
      <w:r>
        <w:t xml:space="preserve">And no supervisor is permitted to restart their activity independently after an event. The Incident Controller alone releases the workface only after permits and controls are fully revalidated.</w:t>
      </w:r>
    </w:p>
    <w:p>
      <w:pPr>
        <w:pStyle w:val="BodyText"/>
      </w:pPr>
      <w:r>
        <w:t xml:space="preserve">Moving from our command structure, let us look at the operational gates that must be verified before any shift begins.</w:t>
      </w:r>
    </w:p>
    <w:bookmarkEnd w:id="11"/>
    <w:bookmarkStart w:id="12" w:name="laboratory-scope-is-evidence"/>
    <w:p>
      <w:pPr>
        <w:pStyle w:val="Heading1"/>
      </w:pPr>
      <w:r>
        <w:t xml:space="preserve">4 - Laboratory Scope Is Evidence</w:t>
      </w:r>
    </w:p>
    <w:p>
      <w:pPr>
        <w:pStyle w:val="FirstParagraph"/>
      </w:pPr>
      <w:r>
        <w:t xml:space="preserve">An ISO/IEC 17025 certificate is only valid when the laboratory’s accredited scope covers the exact testing method used on site.</w:t>
      </w:r>
    </w:p>
    <w:p>
      <w:pPr>
        <w:pStyle w:val="BodyText"/>
      </w:pPr>
      <w:r>
        <w:t xml:space="preserve">We must verify current accreditation, exact method scopes, competent execution, and clear report limitations before accepting any test data. The laboratory report forms just one stream of evidence within a defensible safety case managed entirely by project engineers.</w:t>
      </w:r>
    </w:p>
    <w:p>
      <w:pPr>
        <w:pStyle w:val="BodyText"/>
      </w:pPr>
      <w:r>
        <w:t xml:space="preserve">Generic accreditations and out-of-scope methods will never authorize a shoring release at our workface.</w:t>
      </w:r>
    </w:p>
    <w:p>
      <w:pPr>
        <w:pStyle w:val="BodyText"/>
      </w:pPr>
      <w:r>
        <w:t xml:space="preserve">Data does not release temporary support, and engineers must always evaluate the full operational picture.</w:t>
      </w:r>
    </w:p>
    <w:bookmarkEnd w:id="12"/>
    <w:bookmarkStart w:id="13" w:name="ndt-informsengineering-decides"/>
    <w:p>
      <w:pPr>
        <w:pStyle w:val="Heading1"/>
      </w:pPr>
      <w:r>
        <w:t xml:space="preserve">5 - NDT Informs—Engineering Decides</w:t>
      </w:r>
    </w:p>
    <w:p>
      <w:pPr>
        <w:pStyle w:val="FirstParagraph"/>
      </w:pPr>
      <w:r>
        <w:t xml:space="preserve">Non-destructive testing provides vital data, but non-destructive testing alone never authorizes the release of structural support.</w:t>
      </w:r>
    </w:p>
    <w:p>
      <w:pPr>
        <w:pStyle w:val="BodyText"/>
      </w:pPr>
      <w:r>
        <w:t xml:space="preserve">We rely on a strict hierarchy of evidence, starting with cured cubes and maturity methods, validated by indirect and direct core testing where needed. The structural engineer and temporary-works designer must reconcile all test results alongside water conditions and monitoring trends.</w:t>
      </w:r>
    </w:p>
    <w:p>
      <w:pPr>
        <w:pStyle w:val="BodyText"/>
      </w:pPr>
      <w:r>
        <w:t xml:space="preserve">Data informs the decision, but qualified engineers make the final call based on the complete permanent load path.</w:t>
      </w:r>
    </w:p>
    <w:p>
      <w:pPr>
        <w:pStyle w:val="BodyText"/>
      </w:pPr>
      <w:r>
        <w:t xml:space="preserve">To ensure our testing evidence stands up to scrutiny, the laboratories producing it must meet rigorous accreditation standards.</w:t>
      </w:r>
    </w:p>
    <w:bookmarkEnd w:id="13"/>
    <w:bookmarkStart w:id="14" w:name="the-permit-interface-is-live"/>
    <w:p>
      <w:pPr>
        <w:pStyle w:val="Heading1"/>
      </w:pPr>
      <w:r>
        <w:t xml:space="preserve">6 - The Permit Interface Is Live</w:t>
      </w:r>
    </w:p>
    <w:p>
      <w:pPr>
        <w:pStyle w:val="FirstParagraph"/>
      </w:pPr>
      <w:r>
        <w:t xml:space="preserve">Permits don’t live in isolation. When lifting, formwork, excavation, and dewatering overlap, their controls must align for the exact same shift and workface.</w:t>
      </w:r>
    </w:p>
    <w:p>
      <w:pPr>
        <w:pStyle w:val="BodyText"/>
      </w:pPr>
      <w:r>
        <w:t xml:space="preserve">One expired release or unresolved conflict stops the job. Don’t try to work around a permit mismatch in the field. Stop, revalidate, and get the paperwork right before anyone touches the workface.</w:t>
      </w:r>
    </w:p>
    <w:p>
      <w:pPr>
        <w:pStyle w:val="BodyText"/>
      </w:pPr>
      <w:r>
        <w:t xml:space="preserve">Moving from paper permits to active field control brings us straight to how we track these dependencies shift by shift.</w:t>
      </w:r>
    </w:p>
    <w:bookmarkEnd w:id="14"/>
    <w:bookmarkStart w:id="15" w:name="rescue-readiness-is-a-release-gate"/>
    <w:p>
      <w:pPr>
        <w:pStyle w:val="Heading1"/>
      </w:pPr>
      <w:r>
        <w:t xml:space="preserve">7 - Rescue Readiness Is a Release Gate</w:t>
      </w:r>
    </w:p>
    <w:p>
      <w:pPr>
        <w:pStyle w:val="FirstParagraph"/>
      </w:pPr>
      <w:r>
        <w:t xml:space="preserve">Rescue readiness is not just a paperwork exercise; it is an absolute release gate for simultaneous operations in the lower basement.</w:t>
      </w:r>
    </w:p>
    <w:p>
      <w:pPr>
        <w:pStyle w:val="BodyText"/>
      </w:pPr>
      <w:r>
        <w:t xml:space="preserve">We must verify six distinct conditions at the actual workface before any shift starts, including command channels, clear evacuation routes, and water-control resilience. These routes must be drilled and proven under real conditions, not just assumed on a drawing.</w:t>
      </w:r>
    </w:p>
    <w:p>
      <w:pPr>
        <w:pStyle w:val="BodyText"/>
      </w:pPr>
      <w:r>
        <w:t xml:space="preserve">If any single rescue or water-control condition fails, you withhold the SIMOPS release entirely.</w:t>
      </w:r>
    </w:p>
    <w:p>
      <w:pPr>
        <w:pStyle w:val="BodyText"/>
      </w:pPr>
      <w:r>
        <w:t xml:space="preserve">With our readiness gates established, we must examine how testing data feeds into critical engineering decisions.</w:t>
      </w:r>
    </w:p>
    <w:bookmarkEnd w:id="15"/>
    <w:bookmarkStart w:id="16" w:name="lower-basement-simops"/>
    <w:p>
      <w:pPr>
        <w:pStyle w:val="Heading1"/>
      </w:pPr>
      <w:r>
        <w:t xml:space="preserve">8 - Lower-Basement SIMOPS</w:t>
      </w:r>
    </w:p>
    <w:p>
      <w:pPr>
        <w:pStyle w:val="FirstParagraph"/>
      </w:pPr>
      <w:r>
        <w:t xml:space="preserve">We are dealing with high-density simultaneous operations in a confined lower-basement setting where retained earth pressures and active construction collide. Our focus today is holding the line on emergency readiness, live permit discipline, and uncompromised structural verification. Let’s make sure everyone understands the non-negotiable boundaries of our workface.</w:t>
      </w:r>
    </w:p>
    <w:p>
      <w:pPr>
        <w:pStyle w:val="BodyText"/>
      </w:pPr>
      <w:r>
        <w:t xml:space="preserve">And that brings us directly to how we govern this single, high-risk space.</w:t>
      </w:r>
    </w:p>
    <w:bookmarkEnd w:id="16"/>
    <w:bookmarkStart w:id="17" w:name="one-workface-one-safety-case"/>
    <w:p>
      <w:pPr>
        <w:pStyle w:val="Heading1"/>
      </w:pPr>
      <w:r>
        <w:t xml:space="preserve">9 - One Workface, One Safety Case</w:t>
      </w:r>
    </w:p>
    <w:p>
      <w:pPr>
        <w:pStyle w:val="FirstParagraph"/>
      </w:pPr>
      <w:r>
        <w:t xml:space="preserve">We cannot separate lifting, concrete placement, dewatering, and temporary shoring into isolated silos. They interact continuously, meaning a change in one instantly threatens the stability of the others. That is why every permit and technical decision must treat the lower-basement as one integrated safety case.</w:t>
      </w:r>
    </w:p>
    <w:p>
      <w:pPr>
        <w:pStyle w:val="BodyText"/>
      </w:pPr>
      <w:r>
        <w:t xml:space="preserve">Remember that structural work starting does not mean the retained-excavation risk has gone away.</w:t>
      </w:r>
    </w:p>
    <w:p>
      <w:pPr>
        <w:pStyle w:val="BodyText"/>
      </w:pPr>
      <w:r>
        <w:t xml:space="preserve">So when things cross the line, we follow a strict sequence that stops production to protect lives.</w:t>
      </w:r>
    </w:p>
    <w:bookmarkEnd w:id="17"/>
    <w:bookmarkStart w:id="18" w:name="all-stop-make-safe-rescue-revalidate"/>
    <w:p>
      <w:pPr>
        <w:pStyle w:val="Heading1"/>
      </w:pPr>
      <w:r>
        <w:t xml:space="preserve">10 - All Stop, Make Safe, Rescue, Revalidate</w:t>
      </w:r>
    </w:p>
    <w:p>
      <w:pPr>
        <w:pStyle w:val="FirstParagraph"/>
      </w:pPr>
      <w:r>
        <w:t xml:space="preserve">When an emergency hits, hesitation and improvisation cost lives. Everyone must instantly execute the four mandatory steps without waiting for permission to panic. Stop all plant, make the workface safe from pressure or loads, launch the preplanned rescue, and hold off on restarting until full revalidation occurs.</w:t>
      </w:r>
    </w:p>
    <w:p>
      <w:pPr>
        <w:pStyle w:val="BodyText"/>
      </w:pPr>
      <w:r>
        <w:t xml:space="preserve">Notice that evacuation does not end when the casualty leaves the floor. The safety case itself must be fully re-established.</w:t>
      </w:r>
    </w:p>
    <w:p>
      <w:pPr>
        <w:pStyle w:val="BodyText"/>
      </w:pPr>
      <w:r>
        <w:t xml:space="preserve">And to execute that rescue safely, our paths must be engineered, not guessed.</w:t>
      </w:r>
    </w:p>
    <w:bookmarkEnd w:id="18"/>
    <w:bookmarkStart w:id="19" w:name="design-rescue-routes-do-not-improvise"/>
    <w:p>
      <w:pPr>
        <w:pStyle w:val="Heading1"/>
      </w:pPr>
      <w:r>
        <w:t xml:space="preserve">11 - Design Rescue Routes, Do Not Improvise</w:t>
      </w:r>
    </w:p>
    <w:p>
      <w:pPr>
        <w:pStyle w:val="FirstParagraph"/>
      </w:pPr>
      <w:r>
        <w:t xml:space="preserve">We never improvise a casualty route under pressure or use crane hooks and structural struts as lifting improvisations. Walk the actual stretcher path before high-risk work begins to ensure it remains clear of rebar bundles, hoses, and stored plant.</w:t>
      </w:r>
    </w:p>
    <w:p>
      <w:pPr>
        <w:pStyle w:val="BodyText"/>
      </w:pPr>
      <w:r>
        <w:t xml:space="preserve">Hold that route sterile with designated marshals during any emergency transfer until the casualty reaches the external medical interface.</w:t>
      </w:r>
    </w:p>
    <w:p>
      <w:pPr>
        <w:pStyle w:val="BodyText"/>
      </w:pPr>
      <w:r>
        <w:t xml:space="preserve">Next, we need to ensure those physical hazard boundaries are clearly communicated across the entire floor.</w:t>
      </w:r>
    </w:p>
    <w:bookmarkEnd w:id="19"/>
    <w:bookmarkStart w:id="20" w:name="emergency-zones-must-be-visible"/>
    <w:p>
      <w:pPr>
        <w:pStyle w:val="Heading1"/>
      </w:pPr>
      <w:r>
        <w:t xml:space="preserve">12 - Emergency Zones Must Be Visible</w:t>
      </w:r>
    </w:p>
    <w:p>
      <w:pPr>
        <w:pStyle w:val="FirstParagraph"/>
      </w:pPr>
      <w:r>
        <w:t xml:space="preserve">Visual control on the ground is what stops a minor incident from becoming a disaster. Paint the zones on the concrete, physically barricade the lift drops, and keep the blue emergency routes entirely clear of plant and storage.</w:t>
      </w:r>
    </w:p>
    <w:p>
      <w:pPr>
        <w:pStyle w:val="BodyText"/>
      </w:pPr>
      <w:r>
        <w:t xml:space="preserve">If conditions change, update those boundaries immediately through active coordination rather than assumption.</w:t>
      </w:r>
    </w:p>
    <w:p>
      <w:pPr>
        <w:pStyle w:val="BodyText"/>
      </w:pPr>
      <w:r>
        <w:t xml:space="preserve">When an incident occurs in a deep excavation, every supervisor must instantly shift from production to a defined emergency role.</w:t>
      </w:r>
    </w:p>
    <w:bookmarkEnd w:id="2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2026-08-09T04:10:36Z</dcterms:created>
  <dcterms:modified xsi:type="dcterms:W3CDTF">2026-08-09T04:10:36Z</dcterms:modified>
</cp:coreProperties>
</file>

<file path=docProps/custom.xml><?xml version="1.0" encoding="utf-8"?>
<Properties xmlns="http://schemas.openxmlformats.org/officeDocument/2006/custom-properties" xmlns:vt="http://schemas.openxmlformats.org/officeDocument/2006/docPropsVTypes"/>
</file>