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pStyle w:val="MdHeading1"/>
      </w:pPr>
      <w:r>
        <w:t xml:space="preserve">Group A Laboratory Clearance and Supervisor Training — Quality-Control Notes</w:t>
      </w:r>
    </w:p>
    <w:p>
      <w:pPr>
        <w:pStyle w:val="Heading2"/>
        <w:pStyle w:val="MdHeading2"/>
      </w:pPr>
      <w:r>
        <w:t xml:space="preserve">Word Guide</w:t>
      </w:r>
    </w:p>
    <w:p>
      <w:pPr>
        <w:pStyle w:val="MdParagraph"/>
      </w:pPr>
      <w:r>
        <w:t xml:space="preserve">The three-page Word guide was visually reviewed in full. The document control table, disease-specific laboratory-condition table, authority-controlled workflow, specimen/record boundary table, training matrix, five-minute briefing script, supervisor Do/Do Not section and source register are legible, correctly bounded and consistently formatted.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The guide accurately distinguishes disease-specific legal criteria from a universal generic food-handler rule. It records that the published UAE schedule includes specific conditions for cholera, salmonellosis and diphtheria, while expressly stating that a camp supervisor must not collect clinical specimens, choose tests, interpret results or issue medical clearance. It relies on clinician/Health Authority direction for all return-to-work conditions.</w:t>
      </w: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Training and Record Workbook</w:t>
      </w:r>
    </w:p>
    <w:p>
      <w:pPr>
        <w:pStyle w:val="MdParagraph"/>
      </w:pPr>
      <w:r>
        <w:t xml:space="preserve">The Excel workbook contains seven worksheets: a training dashboard; training matrix; briefing attendance; screening observation; daily verbal-screen log; authority-controlled clearance-status register; and monthly training audit. The Training Matrix includes six preloaded role/module lines. The Training Audit includes ten controlled verification points. Operational logs are intentionally blank and include confidentiality notes where health-related status is captured.</w:t>
      </w: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Field Deployment Controls</w:t>
      </w:r>
    </w:p>
    <w:p>
      <w:pPr>
        <w:pStyle w:val="MdParagraph"/>
      </w:pPr>
      <w:r>
        <w:t xml:space="preserve">Before use, fill in the camp, emirate, clinic/health provider, Health Authority and food-authority contacts, laboratory service and client escalation route. The employee clearance register is designed to hold only reference/status fields. Laboratory results and clinical diagnosis remain within controlled medical/HR records. The current disease-specific Health Authority instruction supersedes this guide in a real incident.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"/>
      <w:lvlJc w:val="left"/>
      <w:pPr>
        <w:ind w:left="720" w:hanging="360"/>
      </w:pPr>
    </w:lvl>
    <w:lvl w:ilvl="1" w15:tentative="1">
      <w:start w:val="1"/>
      <w:numFmt w:val="decimal"/>
      <w:lvlText w:val="%1.%2"/>
      <w:lvlJc w:val="left"/>
      <w:pPr>
        <w:ind w:left="1440" w:hanging="360"/>
      </w:pPr>
    </w:lvl>
    <w:lvl w:ilvl="2" w15:tentative="1">
      <w:start w:val="1"/>
      <w:numFmt w:val="decimal"/>
      <w:lvlText w:val="%1.%2.%3"/>
      <w:lvlJc w:val="left"/>
      <w:pPr>
        <w:ind w:left="2160" w:hanging="360"/>
      </w:pPr>
    </w:lvl>
    <w:lvl w:ilvl="3" w15:tentative="1">
      <w:start w:val="1"/>
      <w:numFmt w:val="decimal"/>
      <w:lvlText w:val="%4)"/>
      <w:lvlJc w:val="left"/>
      <w:pPr>
        <w:ind w:left="2880" w:hanging="360"/>
      </w:pPr>
    </w:lvl>
    <w:lvl w:ilvl="4" w15:tentative="1">
      <w:start w:val="1"/>
      <w:numFmt w:val="decimal"/>
      <w:lvlText w:val="%5)"/>
      <w:lvlJc w:val="left"/>
      <w:pPr>
        <w:ind w:left="3600" w:hanging="360"/>
      </w:pPr>
    </w:lvl>
    <w:lvl w:ilvl="5" w15:tentative="1">
      <w:start w:val="1"/>
      <w:numFmt w:val="decimal"/>
      <w:lvlText w:val="%6)"/>
      <w:lvlJc w:val="left"/>
      <w:pPr>
        <w:ind w:left="4320" w:hanging="360"/>
      </w:pPr>
    </w:lvl>
    <w:lvl w:ilvl="6" w15:tentative="1">
      <w:start w:val="1"/>
      <w:numFmt w:val="decimal"/>
      <w:lvlText w:val="%7)"/>
      <w:lvlJc w:val="left"/>
      <w:pPr>
        <w:ind w:left="5040" w:hanging="360"/>
      </w:pPr>
    </w:lvl>
    <w:lvl w:ilvl="7" w15:tentative="1">
      <w:start w:val="1"/>
      <w:numFmt w:val="decimal"/>
      <w:lvlText w:val="%8)"/>
      <w:lvlJc w:val="left"/>
      <w:pPr>
        <w:ind w:left="5760" w:hanging="360"/>
      </w:pPr>
    </w:lvl>
    <w:lvl w:ilvl="8" w15:tentative="1">
      <w:start w:val="1"/>
      <w:numFmt w:val="decimal"/>
      <w:lvlText w:val="%9)"/>
      <w:lvlJc w:val="left"/>
      <w:pPr>
        <w:ind w:left="64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  <w:lvl w:ilvl="2" w15:tentative="1">
      <w:start w:val="1"/>
      <w:numFmt w:val="bullet"/>
      <w:lvlText w:val="•"/>
      <w:lvlJc w:val="left"/>
      <w:pPr>
        <w:ind w:left="2160" w:hanging="360"/>
      </w:pPr>
    </w:lvl>
    <w:lvl w:ilvl="3" w15:tentative="1">
      <w:start w:val="1"/>
      <w:numFmt w:val="bullet"/>
      <w:lvlText w:val="◦"/>
      <w:lvlJc w:val="left"/>
      <w:pPr>
        <w:ind w:left="2880" w:hanging="360"/>
      </w:pPr>
    </w:lvl>
    <w:lvl w:ilvl="4" w15:tentative="1">
      <w:start w:val="1"/>
      <w:numFmt w:val="bullet"/>
      <w:lvlText w:val="•"/>
      <w:lvlJc w:val="left"/>
      <w:pPr>
        <w:ind w:left="3600" w:hanging="360"/>
      </w:pPr>
    </w:lvl>
    <w:lvl w:ilvl="5" w15:tentative="1">
      <w:start w:val="1"/>
      <w:numFmt w:val="bullet"/>
      <w:lvlText w:val="◦"/>
      <w:lvlJc w:val="left"/>
      <w:pPr>
        <w:ind w:left="4320" w:hanging="360"/>
      </w:pPr>
    </w:lvl>
    <w:lvl w:ilvl="6" w15:tentative="1">
      <w:start w:val="1"/>
      <w:numFmt w:val="bullet"/>
      <w:lvlText w:val="•"/>
      <w:lvlJc w:val="left"/>
      <w:pPr>
        <w:ind w:left="504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spacing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 w:color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MdSpace">
    <w:name w:val="MdSpace"/>
    <w:basedOn w:val="Normal"/>
    <w:next w:val="Normal"/>
    <w:qFormat/>
    <w:pPr>
      <w:spacing w:before="0" w:after="0"/>
    </w:pPr>
    <w:rPr>
      <w:sz w:val="12"/>
      <w:szCs w:val="12"/>
    </w:rPr>
  </w:style>
  <w:style w:type="paragraph" w:styleId="MdCode">
    <w:name w:val="MdCode"/>
    <w:basedOn w:val="Normal"/>
    <w:next w:val="Normal"/>
    <w:qFormat/>
    <w:pPr>
      <w:pBdr>
        <w:top w:val="single" w:color="A5A5A5" w:sz="1" w:space="8"/>
        <w:bottom w:val="single" w:color="A5A5A5" w:sz="1" w:space="8"/>
        <w:left w:val="single" w:color="A5A5A5" w:sz="1" w:space="8"/>
        <w:right w:val="single" w:color="A5A5A5" w:sz="1" w:space="8"/>
      </w:pBdr>
      <w:spacing w:before="200" w:after="200"/>
    </w:pPr>
    <w:rPr>
      <w:rFonts w:ascii="Courier New" w:cs="Courier New" w:eastAsia="Courier New" w:hAnsi="Courier New"/>
      <w:color w:val="70AD47"/>
      <w:sz w:val="22"/>
      <w:szCs w:val="22"/>
    </w:rPr>
  </w:style>
  <w:style w:type="paragraph" w:styleId="MdHr">
    <w:name w:val="MdHr"/>
    <w:basedOn w:val="Normal"/>
    <w:next w:val="Normal"/>
    <w:qFormat/>
    <w:pPr>
      <w:pBdr>
        <w:bottom w:val="single" w:color="A5A5A5" w:sz="1" w:space="1"/>
      </w:pBdr>
      <w:spacing w:before="240" w:after="240"/>
    </w:pPr>
  </w:style>
  <w:style w:type="paragraph" w:styleId="MdBlockquote">
    <w:name w:val="MdBlockquote"/>
    <w:basedOn w:val="Normal"/>
    <w:next w:val="Normal"/>
    <w:qFormat/>
    <w:pPr>
      <w:pBdr>
        <w:left w:val="single" w:color="A5A5A5" w:sz="20" w:space="12"/>
      </w:pBdr>
      <w:spacing w:before="200" w:after="200"/>
      <w:ind w:left="360"/>
    </w:pPr>
    <w:rPr>
      <w:i/>
      <w:iCs/>
      <w:color w:val="666666"/>
    </w:rPr>
  </w:style>
  <w:style w:type="paragraph" w:styleId="MdHtml">
    <w:name w:val="MdHtml"/>
    <w:basedOn w:val="Normal"/>
    <w:next w:val="Normal"/>
    <w:qFormat/>
    <w:rPr>
      <w:rFonts w:ascii="Courier New" w:cs="Courier New" w:eastAsia="Courier New" w:hAnsi="Courier New"/>
      <w:color w:val="ED7D31"/>
    </w:rPr>
  </w:style>
  <w:style w:type="paragraph" w:styleId="MdDef">
    <w:name w:val="MdDef"/>
    <w:basedOn w:val="Normal"/>
    <w:next w:val="Normal"/>
    <w:qFormat/>
    <w:pPr>
      <w:ind w:left="720" w:hanging="360"/>
    </w:pPr>
  </w:style>
  <w:style w:type="paragraph" w:styleId="MdParagraph">
    <w:name w:val="MdParagraph"/>
    <w:basedOn w:val="Normal"/>
    <w:next w:val="Normal"/>
    <w:qFormat/>
    <w:pPr>
      <w:spacing w:before="120" w:after="120"/>
    </w:pPr>
  </w:style>
  <w:style w:type="paragraph" w:styleId="MdText">
    <w:name w:val="MdText"/>
    <w:basedOn w:val="Normal"/>
    <w:next w:val="Normal"/>
    <w:qFormat/>
  </w:style>
  <w:style w:type="paragraph" w:styleId="MdFootnote">
    <w:name w:val="MdFootnote"/>
    <w:basedOn w:val="Normal"/>
    <w:next w:val="Normal"/>
    <w:qFormat/>
    <w:rPr>
      <w:vertAlign w:val="superscript"/>
    </w:rPr>
  </w:style>
  <w:style w:type="paragraph" w:styleId="MdListItem">
    <w:name w:val="MdListItem"/>
    <w:basedOn w:val="Normal"/>
    <w:next w:val="Normal"/>
    <w:qFormat/>
    <w:pPr>
      <w:spacing w:before="60" w:after="60"/>
      <w:ind w:left="720" w:hanging="360"/>
    </w:pPr>
  </w:style>
  <w:style w:type="paragraph" w:styleId="MdTable">
    <w:name w:val="MdTable"/>
    <w:basedOn w:val="Normal"/>
    <w:next w:val="Normal"/>
    <w:qFormat/>
    <w:pPr>
      <w:spacing w:before="60" w:after="60"/>
    </w:pPr>
  </w:style>
  <w:style w:type="paragraph" w:styleId="MdTableHeader">
    <w:name w:val="MdTableHeader"/>
    <w:basedOn w:val="Normal"/>
    <w:next w:val="Normal"/>
    <w:qFormat/>
    <w:pPr>
      <w:spacing w:before="60" w:after="60"/>
    </w:pPr>
    <w:rPr>
      <w:b/>
      <w:bCs/>
      <w:sz w:val="22"/>
      <w:szCs w:val="22"/>
    </w:rPr>
  </w:style>
  <w:style w:type="paragraph" w:styleId="MdTableCell">
    <w:name w:val="MdTableCell"/>
    <w:basedOn w:val="Normal"/>
    <w:next w:val="Normal"/>
    <w:qFormat/>
    <w:pPr>
      <w:spacing w:before="40" w:after="40"/>
    </w:pPr>
    <w:rPr>
      <w:sz w:val="20"/>
      <w:szCs w:val="20"/>
    </w:rPr>
  </w:style>
  <w:style w:type="paragraph" w:styleId="MdHeading1">
    <w:name w:val="MdHeading1"/>
    <w:basedOn w:val="Normal"/>
    <w:next w:val="Normal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styleId="MdHeading2">
    <w:name w:val="MdHeading2"/>
    <w:basedOn w:val="Normal"/>
    <w:next w:val="Normal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styleId="MdHeading3">
    <w:name w:val="MdHeading3"/>
    <w:basedOn w:val="Normal"/>
    <w:next w:val="Normal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styleId="MdHeading4">
    <w:name w:val="MdHeading4"/>
    <w:basedOn w:val="Normal"/>
    <w:next w:val="Normal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styleId="MdHeading5">
    <w:name w:val="MdHeading5"/>
    <w:basedOn w:val="Normal"/>
    <w:next w:val="Normal"/>
    <w:qFormat/>
    <w:pPr>
      <w:keepNext/>
      <w:spacing w:before="240" w:after="120"/>
      <w:outlineLvl w:val="4"/>
    </w:pPr>
    <w:rPr>
      <w:b/>
      <w:bCs/>
      <w:i/>
      <w:iCs/>
      <w:sz w:val="24"/>
      <w:szCs w:val="24"/>
    </w:rPr>
  </w:style>
  <w:style w:type="paragraph" w:styleId="MdHeading6">
    <w:name w:val="MdHeading6"/>
    <w:basedOn w:val="Normal"/>
    <w:next w:val="Normal"/>
    <w:qFormat/>
    <w:pPr>
      <w:keepNext/>
      <w:spacing w:before="240" w:after="120"/>
      <w:outlineLvl w:val="5"/>
    </w:pPr>
    <w:rPr>
      <w:b w:val="false"/>
      <w:bCs w:val="false"/>
      <w:i/>
      <w:iCs/>
      <w:sz w:val="24"/>
      <w:szCs w:val="24"/>
    </w:rPr>
  </w:style>
  <w:style w:type="character" w:styleId="MdTag">
    <w:name w:val="MdTag"/>
    <w:basedOn w:val="Normal"/>
    <w:next w:val="Normal"/>
    <w:uiPriority w:val="99"/>
    <w:unhideWhenUsed/>
    <w:qFormat/>
    <w:rPr>
      <w:rFonts w:ascii="Courier New" w:cs="Courier New" w:eastAsia="Courier New" w:hAnsi="Courier New"/>
      <w:color w:val="ED7D31"/>
    </w:rPr>
  </w:style>
  <w:style w:type="character" w:styleId="MdLink">
    <w:name w:val="MdLink"/>
    <w:basedOn w:val="Normal"/>
    <w:next w:val="Normal"/>
    <w:uiPriority w:val="99"/>
    <w:unhideWhenUsed/>
    <w:qFormat/>
    <w:rPr>
      <w:color w:val="0563C1"/>
      <w:u w:val="single"/>
    </w:rPr>
  </w:style>
  <w:style w:type="character" w:styleId="MdStrong">
    <w:name w:val="MdStrong"/>
    <w:basedOn w:val="Normal"/>
    <w:next w:val="Normal"/>
    <w:uiPriority w:val="99"/>
    <w:unhideWhenUsed/>
    <w:qFormat/>
    <w:rPr>
      <w:b/>
      <w:bCs/>
    </w:rPr>
  </w:style>
  <w:style w:type="character" w:styleId="MdEm">
    <w:name w:val="MdEm"/>
    <w:basedOn w:val="Normal"/>
    <w:next w:val="Normal"/>
    <w:uiPriority w:val="99"/>
    <w:unhideWhenUsed/>
    <w:qFormat/>
    <w:rPr>
      <w:i/>
      <w:iCs/>
    </w:rPr>
  </w:style>
  <w:style w:type="character" w:styleId="MdCodespan">
    <w:name w:val="MdCodespan"/>
    <w:basedOn w:val="Normal"/>
    <w:next w:val="Normal"/>
    <w:uiPriority w:val="99"/>
    <w:unhideWhenUsed/>
    <w:qFormat/>
    <w:rPr>
      <w:rFonts w:ascii="Courier New" w:cs="Courier New" w:eastAsia="Courier New" w:hAnsi="Courier New"/>
      <w:color w:val="70AD47"/>
    </w:rPr>
  </w:style>
  <w:style w:type="character" w:styleId="MdDel">
    <w:name w:val="MdDel"/>
    <w:basedOn w:val="Normal"/>
    <w:next w:val="Normal"/>
    <w:uiPriority w:val="99"/>
    <w:unhideWhenUsed/>
    <w:qFormat/>
    <w:rPr>
      <w:strike/>
    </w:rPr>
  </w:style>
  <w:style w:type="character" w:styleId="MdBr">
    <w:name w:val="MdBr"/>
    <w:basedOn w:val="Normal"/>
    <w:next w:val="Normal"/>
    <w:uiPriority w:val="99"/>
    <w:unhideWhenUsed/>
    <w:qFormat/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Un-named</cp:lastModifiedBy>
  <cp:revision>1</cp:revision>
  <dcterms:created xsi:type="dcterms:W3CDTF">2026-08-19T10:16:08.770Z</dcterms:created>
  <dcterms:modified xsi:type="dcterms:W3CDTF">2026-08-19T10:16:08.770Z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