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53B5B"/>
          <w:sz w:val="36"/>
        </w:rPr>
        <w:t>DRAFT HR POLICY TEMPLATE</w:t>
        <w:br/>
        <w:t>MEDICAL EXCLUSION AND CAMP QUARANTINE READINESS</w:t>
      </w:r>
    </w:p>
    <w:p>
      <w:pPr>
        <w:jc w:val="center"/>
      </w:pPr>
      <w:r>
        <w:rPr>
          <w:rFonts w:ascii="Arial" w:hAnsi="Arial"/>
          <w:i/>
          <w:sz w:val="20"/>
        </w:rPr>
        <w:t>For Food Handlers, Food Safety Teams and Remote Camp Management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180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Document field</w:t>
            </w:r>
          </w:p>
        </w:tc>
        <w:tc>
          <w:tcPr>
            <w:tcW w:type="dxa" w:w="345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Detail</w:t>
            </w:r>
          </w:p>
        </w:tc>
        <w:tc>
          <w:tcPr>
            <w:tcW w:type="dxa" w:w="194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Document field</w:t>
            </w:r>
          </w:p>
        </w:tc>
        <w:tc>
          <w:tcPr>
            <w:tcW w:type="dxa" w:w="331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Detail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Policy ID</w:t>
            </w:r>
          </w:p>
        </w:tc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IM-HR-MED-EXC-003</w:t>
            </w:r>
          </w:p>
        </w:tc>
        <w:tc>
          <w:tcPr>
            <w:tcW w:type="dxa" w:w="194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Revision</w:t>
            </w:r>
          </w:p>
        </w:tc>
        <w:tc>
          <w:tcPr>
            <w:tcW w:type="dxa" w:w="33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00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Owner</w:t>
            </w:r>
          </w:p>
        </w:tc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Manager / Food Safety In-Charge</w:t>
            </w:r>
          </w:p>
        </w:tc>
        <w:tc>
          <w:tcPr>
            <w:tcW w:type="dxa" w:w="194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Review</w:t>
            </w:r>
          </w:p>
        </w:tc>
        <w:tc>
          <w:tcPr>
            <w:tcW w:type="dxa" w:w="33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Annual and after any incident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Scope</w:t>
            </w:r>
          </w:p>
        </w:tc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Remote UAE camps; adapt per emirate/contract</w:t>
            </w:r>
          </w:p>
        </w:tc>
        <w:tc>
          <w:tcPr>
            <w:tcW w:type="dxa" w:w="194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Approval</w:t>
            </w:r>
          </w:p>
        </w:tc>
        <w:tc>
          <w:tcPr>
            <w:tcW w:type="dxa" w:w="33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[Authorised signatory]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Status</w:t>
            </w:r>
          </w:p>
        </w:tc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Draft — legal/clinical review before issue</w:t>
            </w:r>
          </w:p>
        </w:tc>
        <w:tc>
          <w:tcPr>
            <w:tcW w:type="dxa" w:w="194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Effective date</w:t>
            </w:r>
          </w:p>
        </w:tc>
        <w:tc>
          <w:tcPr>
            <w:tcW w:type="dxa" w:w="33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CE4D6"/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 xml:space="preserve">Policy boundary: </w:t>
            </w:r>
            <w:r>
              <w:rPr>
                <w:rFonts w:ascii="Arial" w:hAnsi="Arial"/>
                <w:sz w:val="16"/>
              </w:rPr>
              <w:t>This template distinguishes health-protection removal from disciplinary suspension. It must not be used to diagnose a worker, determine a test requirement, set a medical isolation period, reduce pay, impose unpaid leave or terminate employment without HR/legal review and the applicable clinical/Health Authority documentation.</w:t>
            </w:r>
          </w:p>
        </w:tc>
      </w:tr>
    </w:tbl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1. Purpose, Scope and Definitions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244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Term</w:t>
            </w:r>
          </w:p>
        </w:tc>
        <w:tc>
          <w:tcPr>
            <w:tcW w:type="dxa" w:w="849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Working policy meaning</w:t>
            </w:r>
          </w:p>
        </w:tc>
      </w:tr>
      <w:tr>
        <w:tc>
          <w:tcPr>
            <w:tcW w:type="dxa" w:w="244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Medical exclusion / work restriction</w:t>
            </w:r>
          </w:p>
        </w:tc>
        <w:tc>
          <w:tcPr>
            <w:tcW w:type="dxa" w:w="84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Temporary removal from specified food, ice, water, cleaning-equipment or camp duties to protect health while the authorised health process proceeds. It is a safety control, not a disciplinary label.</w:t>
            </w:r>
          </w:p>
        </w:tc>
      </w:tr>
      <w:tr>
        <w:tc>
          <w:tcPr>
            <w:tcW w:type="dxa" w:w="244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Carrier</w:t>
            </w:r>
          </w:p>
        </w:tc>
        <w:tc>
          <w:tcPr>
            <w:tcW w:type="dxa" w:w="84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 person with a pathogenic agent without signs or symptoms; the clinical/Health Authority route controls interpretation and restrictions.</w:t>
            </w:r>
          </w:p>
        </w:tc>
      </w:tr>
      <w:tr>
        <w:tc>
          <w:tcPr>
            <w:tcW w:type="dxa" w:w="244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Quarantine</w:t>
            </w:r>
          </w:p>
        </w:tc>
        <w:tc>
          <w:tcPr>
            <w:tcW w:type="dxa" w:w="84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Separation/monitoring of a contact or person as ordered by the Health Authority. It may occur in or outside a health facility, subject to authority conditions.</w:t>
            </w:r>
          </w:p>
        </w:tc>
      </w:tr>
      <w:tr>
        <w:tc>
          <w:tcPr>
            <w:tcW w:type="dxa" w:w="244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Isolation</w:t>
            </w:r>
          </w:p>
        </w:tc>
        <w:tc>
          <w:tcPr>
            <w:tcW w:type="dxa" w:w="84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Clinical/public-health separation according to disease transmission risk. Hospital/health-facility isolation rooms have separate statutory technical requirements.</w:t>
            </w:r>
          </w:p>
        </w:tc>
      </w:tr>
      <w:tr>
        <w:tc>
          <w:tcPr>
            <w:tcW w:type="dxa" w:w="244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Clearance</w:t>
            </w:r>
          </w:p>
        </w:tc>
        <w:tc>
          <w:tcPr>
            <w:tcW w:type="dxa" w:w="84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Written clinician/Health Authority confirmation that applicable conditions are satisfied; operational manager records reference before return to food work.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2. Policy Rules and Decision Authority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208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Rule</w:t>
            </w:r>
          </w:p>
        </w:tc>
        <w:tc>
          <w:tcPr>
            <w:tcW w:type="dxa" w:w="655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Requirement</w:t>
            </w:r>
          </w:p>
        </w:tc>
        <w:tc>
          <w:tcPr>
            <w:tcW w:type="dxa" w:w="230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Accountable role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Immediate restriction</w:t>
            </w:r>
          </w:p>
        </w:tc>
        <w:tc>
          <w:tcPr>
            <w:tcW w:type="dxa" w:w="65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 credible health concern, positive result, clinician instruction or Health Authority direction triggers immediate removal from food/ice/water/clean-equipment duties.</w:t>
            </w:r>
          </w:p>
        </w:tc>
        <w:tc>
          <w:tcPr>
            <w:tcW w:type="dxa" w:w="23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Supervisor / Food Safety In-Charge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Clinical authority</w:t>
            </w:r>
          </w:p>
        </w:tc>
        <w:tc>
          <w:tcPr>
            <w:tcW w:type="dxa" w:w="65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Only the competent clinician and Health Authority determine diagnosis, test panel, specimen collection, medical isolation/quarantine and fitness conditions.</w:t>
            </w:r>
          </w:p>
        </w:tc>
        <w:tc>
          <w:tcPr>
            <w:tcW w:type="dxa" w:w="23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 liaison / Health Authority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Employment status</w:t>
            </w:r>
          </w:p>
        </w:tc>
        <w:tc>
          <w:tcPr>
            <w:tcW w:type="dxa" w:w="65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determines leave, pay, alternative work, accommodation and contractual status after reviewing documented medical/authority advice and applicable labour law.</w:t>
            </w:r>
          </w:p>
        </w:tc>
        <w:tc>
          <w:tcPr>
            <w:tcW w:type="dxa" w:w="23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Manager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Non-disciplinary separation</w:t>
            </w:r>
          </w:p>
        </w:tc>
        <w:tc>
          <w:tcPr>
            <w:tcW w:type="dxa" w:w="65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Medical exclusion is not disciplinary suspension. Any alleged misconduct must be investigated under a separate, fair process and never delay the immediate safety removal.</w:t>
            </w:r>
          </w:p>
        </w:tc>
        <w:tc>
          <w:tcPr>
            <w:tcW w:type="dxa" w:w="23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Manager / Camp Manager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Privacy</w:t>
            </w:r>
          </w:p>
        </w:tc>
        <w:tc>
          <w:tcPr>
            <w:tcW w:type="dxa" w:w="65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Operational files contain restriction and clearance references only. Diagnoses and test results are held by authorised clinical/HR custodians.</w:t>
            </w:r>
          </w:p>
        </w:tc>
        <w:tc>
          <w:tcPr>
            <w:tcW w:type="dxa" w:w="23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custodian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Return</w:t>
            </w:r>
          </w:p>
        </w:tc>
        <w:tc>
          <w:tcPr>
            <w:tcW w:type="dxa" w:w="65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No food-duty return until documented clinician/Health Authority conditions are met and the authorised manager completes the release record.</w:t>
            </w:r>
          </w:p>
        </w:tc>
        <w:tc>
          <w:tcPr>
            <w:tcW w:type="dxa" w:w="23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 / HR / Food Safety In-Charge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3. Medical Exclusion and Employment-Status Process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187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Step</w:t>
            </w:r>
          </w:p>
        </w:tc>
        <w:tc>
          <w:tcPr>
            <w:tcW w:type="dxa" w:w="691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Required action</w:t>
            </w:r>
          </w:p>
        </w:tc>
        <w:tc>
          <w:tcPr>
            <w:tcW w:type="dxa" w:w="216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Record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1. Issue restriction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Supervisor stops relevant work and informs Food Safety In-Charge; arrange private referral/welfare support.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Restriction start record; no diagnosis in kitchen log.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2. Notify HR confidentially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acknowledges notice, gives employee communication and confirms contact route.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Letter/acknowledgement; HR case ID.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3. Apply authority instruction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Follow clinician/Health Authority restriction, surveillance, isolation/quarantine, reporting and clearance instructions.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Authority instruction log.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4. Determine employment terms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checks employment contract, Labour Law, approved medical report, company policy and legal advice before confirming paid/unpaid leave, alternative work or accommodation terms.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Written HR determination.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5. Review welfare/access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Maintain respectful welfare, food delivery, contact method, transport/clinic access and restricted area controls as applicable.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Daily welfare/access check.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6. Return or continue restriction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Release only on written clinical/authority reference. If restriction continues, review date and welfare/employment status are documented.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Clearance / review record.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FF2CC"/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 xml:space="preserve">Private-sector labour-law checkpoint: </w:t>
            </w:r>
            <w:r>
              <w:rPr>
                <w:rFonts w:ascii="Arial" w:hAnsi="Arial"/>
                <w:sz w:val="16"/>
              </w:rPr>
              <w:t>The UAE Government portal states that, after probation, sick leave may total up to 90 days per year (15 full-pay, 30 half-pay, 45 unpaid), subject to conditions; employees notify within three days and submit a medical report. An employer may not dismiss or issue a termination notice during sick leave. HR must confirm applicability, including probation status, before assigning a leave/pay status.</w:t>
            </w:r>
          </w:p>
        </w:tc>
      </w:tr>
    </w:tbl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4. What On-Site Isolation / Quarantine Facilities Are Legally Required?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288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Question</w:t>
            </w:r>
          </w:p>
        </w:tc>
        <w:tc>
          <w:tcPr>
            <w:tcW w:type="dxa" w:w="432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Verified federal position</w:t>
            </w:r>
          </w:p>
        </w:tc>
        <w:tc>
          <w:tcPr>
            <w:tcW w:type="dxa" w:w="388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Camp implementation</w:t>
            </w:r>
          </w:p>
        </w:tc>
      </w:tr>
      <w:tr>
        <w:tc>
          <w:tcPr>
            <w:tcW w:type="dxa" w:w="28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Must every remote camp have a permanent hospital-standard isolation room?</w:t>
            </w:r>
          </w:p>
        </w:tc>
        <w:tc>
          <w:tcPr>
            <w:tcW w:type="dxa" w:w="43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No public federal rule reviewed imposes hospital isolation-room specifications on an ordinary remote camp. Executive Regulation Article 9 imposes isolation-room requirements on health facilities.</w:t>
            </w:r>
          </w:p>
        </w:tc>
        <w:tc>
          <w:tcPr>
            <w:tcW w:type="dxa" w:w="38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Do not represent a camp welfare room as a clinical isolation room. Maintain referral/transfer arrangements with licensed healthcare support.</w:t>
            </w:r>
          </w:p>
        </w:tc>
      </w:tr>
      <w:tr>
        <w:tc>
          <w:tcPr>
            <w:tcW w:type="dxa" w:w="28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Can a camp accommodation building be used for quarantine?</w:t>
            </w:r>
          </w:p>
        </w:tc>
        <w:tc>
          <w:tcPr>
            <w:tcW w:type="dxa" w:w="43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Yes, only as needed in temporary areas set by the Health Authority; residential buildings/locations may be used but must remain under Health Authority supervision.</w:t>
            </w:r>
          </w:p>
        </w:tc>
        <w:tc>
          <w:tcPr>
            <w:tcW w:type="dxa" w:w="38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Use accommodation for quarantine only with documented authority direction, approved location and supervision requirements.</w:t>
            </w:r>
          </w:p>
        </w:tc>
      </w:tr>
      <w:tr>
        <w:tc>
          <w:tcPr>
            <w:tcW w:type="dxa" w:w="28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What is expressly stated for home quarantine?</w:t>
            </w:r>
          </w:p>
        </w:tc>
        <w:tc>
          <w:tcPr>
            <w:tcW w:type="dxa" w:w="43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The Regulation permits home quarantine by isolating the affected/contact person in a well-ventilated room with a private bathroom.</w:t>
            </w:r>
          </w:p>
        </w:tc>
        <w:tc>
          <w:tcPr>
            <w:tcW w:type="dxa" w:w="38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If the Health Authority directs dorm/accommodation quarantine, confirm that the assigned room meets the authority-approved plan; do not assume generic dormitory sharing is compliant.</w:t>
            </w:r>
          </w:p>
        </w:tc>
      </w:tr>
      <w:tr>
        <w:tc>
          <w:tcPr>
            <w:tcW w:type="dxa" w:w="28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What applies to an asymptomatic food handler awaiting clearance?</w:t>
            </w:r>
          </w:p>
        </w:tc>
        <w:tc>
          <w:tcPr>
            <w:tcW w:type="dxa" w:w="43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No single public federal requirement says every asymptomatic food handler must be kept in on-site quarantine while awaiting clearance. Health Authority conditions are disease-specific.</w:t>
            </w:r>
          </w:p>
        </w:tc>
        <w:tc>
          <w:tcPr>
            <w:tcW w:type="dxa" w:w="38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At minimum: immediate food-duty restriction, private referral, confidential status control and no release before documented clearance. Escalate to Health Authority/clinic for placement decision.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5. Operational Readiness Controls — Not a Substitute for Health Authority Direction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259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Control</w:t>
            </w:r>
          </w:p>
        </w:tc>
        <w:tc>
          <w:tcPr>
            <w:tcW w:type="dxa" w:w="691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Minimum readiness measure</w:t>
            </w:r>
          </w:p>
        </w:tc>
        <w:tc>
          <w:tcPr>
            <w:tcW w:type="dxa" w:w="158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Status / owner</w:t>
            </w:r>
          </w:p>
        </w:tc>
      </w:tr>
      <w:tr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Private initial separation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Identify a private, ventilated welfare/referral point away from food operations where an employee can wait briefly for transfer or instruction; it is not called an isolation room.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  <w:tr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Clinical transfer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Maintain 24/7 clinic, ambulance/medical transfer and Health Authority escalation contacts.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  <w:tr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Authority-designated accommodation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Pre-identify possible single-occupancy rooms with ventilation and private bathroom capability, but activate only if approved/directed by Health Authority.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  <w:tr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Food/water/waste support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Prepare a controlled welfare, meal, laundry/waste and cleaning arrangement based on the disease-specific authority direction.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  <w:tr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Access and privacy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Keep an access roster and minimum-necessary contact record; prevent unauthorised entry and stigma.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  <w:tr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Communications</w:t>
            </w:r>
          </w:p>
        </w:tc>
        <w:tc>
          <w:tcPr>
            <w:tcW w:type="dxa" w:w="69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Provide understandable written/verbal instructions and a named confidential contact.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6. RACI and Records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72"/>
        <w:gridCol w:w="2172"/>
        <w:gridCol w:w="2172"/>
        <w:gridCol w:w="2172"/>
        <w:gridCol w:w="2172"/>
      </w:tblGrid>
      <w:tr>
        <w:tc>
          <w:tcPr>
            <w:tcW w:type="dxa" w:w="338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Activity</w:t>
            </w:r>
          </w:p>
        </w:tc>
        <w:tc>
          <w:tcPr>
            <w:tcW w:type="dxa" w:w="158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</w:t>
            </w:r>
          </w:p>
        </w:tc>
        <w:tc>
          <w:tcPr>
            <w:tcW w:type="dxa" w:w="216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</w:t>
            </w:r>
          </w:p>
        </w:tc>
        <w:tc>
          <w:tcPr>
            <w:tcW w:type="dxa" w:w="216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</w:t>
            </w:r>
          </w:p>
        </w:tc>
        <w:tc>
          <w:tcPr>
            <w:tcW w:type="dxa" w:w="165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</w:t>
            </w:r>
          </w:p>
        </w:tc>
      </w:tr>
      <w:tr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Immediate food-duty restriction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Kitchen Supervisor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 liaison / HR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Manager</w:t>
            </w:r>
          </w:p>
        </w:tc>
      </w:tr>
      <w:tr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Clinical referral/testing/clearance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 liaison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Competent clinician / Health Authority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</w:t>
            </w:r>
          </w:p>
        </w:tc>
      </w:tr>
      <w:tr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Employment status and employee letter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case custodian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Manager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Legal / Camp Manager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Employee</w:t>
            </w:r>
          </w:p>
        </w:tc>
      </w:tr>
      <w:tr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Quarantine accommodation activation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Manager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Health Authority (where directed)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 / HSE / HR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Employee / client</w:t>
            </w:r>
          </w:p>
        </w:tc>
      </w:tr>
      <w:tr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risk containment and trace-back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Manager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Health Authority / food authority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/ client as required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7. Reference Register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72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Ref.</w:t>
            </w:r>
          </w:p>
        </w:tc>
        <w:tc>
          <w:tcPr>
            <w:tcW w:type="dxa" w:w="511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Requirement / relevance</w:t>
            </w:r>
          </w:p>
        </w:tc>
        <w:tc>
          <w:tcPr>
            <w:tcW w:type="dxa" w:w="525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Source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[1]</w:t>
            </w:r>
          </w:p>
        </w:tc>
        <w:tc>
          <w:tcPr>
            <w:tcW w:type="dxa" w:w="51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Carrier controls, manager referral/return conditions, surveillance and Health Authority powers.</w:t>
            </w:r>
          </w:p>
        </w:tc>
        <w:tc>
          <w:tcPr>
            <w:tcW w:type="dxa" w:w="52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https://uaelegislation.gov.ae/en/legislations/1198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[2]</w:t>
            </w:r>
          </w:p>
        </w:tc>
        <w:tc>
          <w:tcPr>
            <w:tcW w:type="dxa" w:w="51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Quarantine inside/outside health facilities and home-quarantine facility conditions.</w:t>
            </w:r>
          </w:p>
        </w:tc>
        <w:tc>
          <w:tcPr>
            <w:tcW w:type="dxa" w:w="52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https://uaelegislation.gov.ae/en/legislations/1197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[3]</w:t>
            </w:r>
          </w:p>
        </w:tc>
        <w:tc>
          <w:tcPr>
            <w:tcW w:type="dxa" w:w="51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Private-sector sick leave and employment relationship provisions.</w:t>
            </w:r>
          </w:p>
        </w:tc>
        <w:tc>
          <w:tcPr>
            <w:tcW w:type="dxa" w:w="52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https://uaelegislation.gov.ae/en/legislations/1541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[4]</w:t>
            </w:r>
          </w:p>
        </w:tc>
        <w:tc>
          <w:tcPr>
            <w:tcW w:type="dxa" w:w="51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UAE Government sick-leave summary.</w:t>
            </w:r>
          </w:p>
        </w:tc>
        <w:tc>
          <w:tcPr>
            <w:tcW w:type="dxa" w:w="52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https://u.ae/en/information-and-services/jobs/Sector-of-employment/employment-in-the-private-sector/Types-of-leaves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CE4D6"/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 xml:space="preserve">Implementation approval: </w:t>
            </w:r>
            <w:r>
              <w:rPr>
                <w:rFonts w:ascii="Arial" w:hAnsi="Arial"/>
                <w:sz w:val="16"/>
              </w:rPr>
              <w:t>Before issue, have the HR/legal reviewer approve employment-status wording and have the designated clinic/Health Authority confirm the local clinical and accommodation route. Attach the final contacts, client requirements, camp plan and current authority directions.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691" w:right="691" w:bottom="648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4"/>
      </w:rPr>
      <w:t xml:space="preserve">Medical exclusion and camp quarantine readiness | Draft — review before issue | Page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256"/>
      <w:gridCol w:w="5256"/>
    </w:tblGrid>
    <w:tr>
      <w:tc>
        <w:tcPr>
          <w:tcW w:type="dxa" w:w="5256"/>
          <w:shd w:fill="153B5B"/>
          <w:vAlign w:val="center"/>
        </w:tcPr>
        <w:p>
          <w:pPr>
            <w:spacing w:after="0"/>
          </w:pPr>
          <w:r/>
          <w:r>
            <w:rPr>
              <w:rFonts w:ascii="Arial" w:hAnsi="Arial"/>
              <w:b/>
              <w:color w:val="FFFFFF"/>
              <w:sz w:val="14"/>
            </w:rPr>
            <w:t>REMOTE CAMP — HR MEDICAL EXCLUSION &amp; QUARANTINE READINESS POLICY</w:t>
          </w:r>
        </w:p>
      </w:tc>
      <w:tc>
        <w:tcPr>
          <w:tcW w:type="dxa" w:w="5256"/>
          <w:shd w:fill="008C95"/>
          <w:vAlign w:val="center"/>
        </w:tcPr>
        <w:p>
          <w:pPr>
            <w:spacing w:after="0"/>
          </w:pPr>
          <w:r/>
          <w:r>
            <w:rPr>
              <w:rFonts w:ascii="Arial" w:hAnsi="Arial"/>
              <w:b/>
              <w:color w:val="FFFFFF"/>
              <w:sz w:val="14"/>
            </w:rPr>
            <w:t>INTERMASS — DRAFT FOR REVIEW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