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/>
        <w:jc w:val="center"/>
      </w:pPr>
      <w:r>
        <w:rPr>
          <w:rFonts w:ascii="Arial" w:hAnsi="Arial"/>
          <w:b/>
          <w:color w:val="17365D"/>
          <w:sz w:val="33"/>
        </w:rPr>
        <w:t>CLOSURE CORRECTIVE ACTION, RE-INSPECTION &amp; REMOTE CAMP-KITCHEN HACCP GUIDE</w:t>
      </w:r>
    </w:p>
    <w:p>
      <w:pPr>
        <w:jc w:val="center"/>
      </w:pPr>
      <w:r>
        <w:rPr>
          <w:rFonts w:ascii="Arial" w:hAnsi="Arial"/>
          <w:i/>
          <w:color w:val="595959"/>
          <w:sz w:val="19"/>
        </w:rPr>
        <w:t>Dubai Municipality and Abu Dhabi Agriculture and Food Safety Authority (ADAFSA)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51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Purpose</w:t>
            </w:r>
          </w:p>
        </w:tc>
        <w:tc>
          <w:tcPr>
            <w:tcW w:type="dxa" w:w="504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Use this guide to close food-safety findings, prepare for authority verification and operate an inspection-ready remote camp kitchen.</w:t>
            </w:r>
          </w:p>
        </w:tc>
        <w:tc>
          <w:tcPr>
            <w:tcW w:type="dxa" w:w="151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Source access</w:t>
            </w:r>
          </w:p>
        </w:tc>
        <w:tc>
          <w:tcPr>
            <w:tcW w:type="dxa" w:w="244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19-Aug-2026</w:t>
            </w:r>
          </w:p>
        </w:tc>
      </w:tr>
      <w:tr>
        <w:tc>
          <w:tcPr>
            <w:tcW w:type="dxa" w:w="15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Jurisdictions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Dubai Municipality; Abu Dhabi/ADAFSA; national food-safety baseline.</w:t>
            </w:r>
          </w:p>
        </w:tc>
        <w:tc>
          <w:tcPr>
            <w:tcW w:type="dxa" w:w="15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Status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Working guide — authority validation required</w:t>
            </w:r>
          </w:p>
        </w:tc>
      </w:tr>
      <w:tr>
        <w:tc>
          <w:tcPr>
            <w:tcW w:type="dxa" w:w="151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Prepared for</w:t>
            </w:r>
          </w:p>
        </w:tc>
        <w:tc>
          <w:tcPr>
            <w:tcW w:type="dxa" w:w="504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 camp/project/operator]</w:t>
            </w:r>
          </w:p>
        </w:tc>
        <w:tc>
          <w:tcPr>
            <w:tcW w:type="dxa" w:w="151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Operating model</w:t>
            </w:r>
          </w:p>
        </w:tc>
        <w:tc>
          <w:tcPr>
            <w:tcW w:type="dxa" w:w="24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[On-site cooking / central kitchen / delivered meals]</w:t>
            </w:r>
          </w:p>
        </w:tc>
      </w:tr>
      <w:tr>
        <w:tc>
          <w:tcPr>
            <w:tcW w:type="dxa" w:w="15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 Safety In-Charge / Camp Manager</w:t>
            </w:r>
          </w:p>
        </w:tc>
        <w:tc>
          <w:tcPr>
            <w:tcW w:type="dxa" w:w="15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Review trigger</w:t>
            </w:r>
          </w:p>
        </w:tc>
        <w:tc>
          <w:tcPr>
            <w:tcW w:type="dxa" w:w="24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Closure, high-risk finding, menu/process change or authority update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570"/>
      </w:tblGrid>
      <w:tr>
        <w:tc>
          <w:tcPr>
            <w:tcW w:type="dxa" w:w="10570"/>
            <w:shd w:fill="FCE4D6"/>
          </w:tcPr>
          <w:p>
            <w:r>
              <w:rPr>
                <w:b/>
                <w:color w:val="D97820"/>
              </w:rPr>
              <w:t xml:space="preserve">Legal and operational limitation: </w:t>
            </w:r>
            <w:r>
              <w:t>The closure notice, cited legal provision, authority deadline, product-hold instruction and written reopening decision prevail. This guide is not legal advice and does not authorise reopening. Where a record frequency or critical limit is not stated in an approval/authority source, this guide identifies it as an operational control requiring validation in the site HACCP plan.</w:t>
            </w:r>
          </w:p>
        </w:tc>
      </w:tr>
    </w:tbl>
    <w:p>
      <w:pPr>
        <w:pStyle w:val="Heading1"/>
      </w:pPr>
      <w:r>
        <w:t>1. Authority Closure and Reopening: What Is Confirmed</w:t>
      </w:r>
    </w:p>
    <w:p>
      <w:r>
        <w:t>Federal Food Safety Law requires an organization officer to implement risk-analysis-based food-safety controls, retain the requested registers, train and medically clear staff, facilitate inspectors, track food, notify risk and withdraw/recover unsafe or non-compliant food. The Executive Regulations allow administrative closure for up to three months, early re-operation when the subject of violation is removed, and final closure/licence-withdrawal action if it is not removed. [1] [2]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158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Authority</w:t>
            </w:r>
          </w:p>
        </w:tc>
        <w:tc>
          <w:tcPr>
            <w:tcW w:type="dxa" w:w="460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Confirmed pathway</w:t>
            </w:r>
          </w:p>
        </w:tc>
        <w:tc>
          <w:tcPr>
            <w:tcW w:type="dxa" w:w="424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What the facility must not assume</w:t>
            </w:r>
          </w:p>
        </w:tc>
      </w:tr>
      <w:tr>
        <w:tc>
          <w:tcPr>
            <w:tcW w:type="dxa" w:w="15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Dubai Municipality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The smart inspection system sends reports by email/text. The licence-linked establishment page allows the operator to view reports/results, attach a corrective-action form and use a dedicated objection link. Inspections use activity/risk-based checklists. [3]</w:t>
            </w:r>
          </w:p>
        </w:tc>
        <w:tc>
          <w:tcPr>
            <w:tcW w:type="dxa" w:w="42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 single publicly available universal closure-reopening booking sequence or timeframe was not located. Use the closure notice and authority portal instructions; reopening must be confirmed by the authority.</w:t>
            </w:r>
          </w:p>
        </w:tc>
      </w:tr>
      <w:tr>
        <w:tc>
          <w:tcPr>
            <w:tcW w:type="dxa" w:w="15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ADAFSA</w:t>
            </w:r>
          </w:p>
        </w:tc>
        <w:tc>
          <w:tcPr>
            <w:tcW w:type="dxa" w:w="46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Official closure notice: closure remains while causes exist. Operations may resume only after rectifying the situation, fulfilling all requirements for the activity and removing causes of violation. ADAFSA requires periodic documented self-inspections using its approved checklist; reports contain findings, proposed corrective actions and follow-up. [4] [5]</w:t>
            </w:r>
          </w:p>
        </w:tc>
        <w:tc>
          <w:tcPr>
            <w:tcW w:type="dxa" w:w="42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restart merely because photos/evidence were uploaded. The closure notice/inspection report route and written confirmation or formal lifting of closure control the reopening decision.</w:t>
            </w:r>
          </w:p>
        </w:tc>
      </w:tr>
    </w:tbl>
    <w:p>
      <w:pPr>
        <w:spacing w:after="0"/>
      </w:pPr>
    </w:p>
    <w:p>
      <w:pPr>
        <w:pStyle w:val="Heading1"/>
      </w:pPr>
      <w:r>
        <w:t>2. Closure Day Procedure — Both Jurisdictions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100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Sequence</w:t>
            </w:r>
          </w:p>
        </w:tc>
        <w:tc>
          <w:tcPr>
            <w:tcW w:type="dxa" w:w="532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Mandatory / prudent action</w:t>
            </w:r>
          </w:p>
        </w:tc>
        <w:tc>
          <w:tcPr>
            <w:tcW w:type="dxa" w:w="410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Evidence to retain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0. Stop and secure</w:t>
            </w:r>
          </w:p>
        </w:tc>
        <w:tc>
          <w:tcPr>
            <w:tcW w:type="dxa" w:w="53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Immediately stop the affected activity and do not operate contrary to closure or hold instruction. Isolate and clearly mark food/equipment/areas implicated by the notice; prevent disposal or alteration of held food unless the authority gives written instruction.</w:t>
            </w:r>
          </w:p>
        </w:tc>
        <w:tc>
          <w:tcPr>
            <w:tcW w:type="dxa" w:w="410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Closure/inspection notice; stop-work record; product hold/quarantine log; photos; stock list.</w:t>
            </w:r>
          </w:p>
        </w:tc>
      </w:tr>
      <w:tr>
        <w:tc>
          <w:tcPr>
            <w:tcW w:type="dxa" w:w="10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1. Understand the notice</w:t>
            </w:r>
          </w:p>
        </w:tc>
        <w:tc>
          <w:tcPr>
            <w:tcW w:type="dxa" w:w="53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Create a point-by-point register: cited breach, legal/schedule reference, risk rating, corrective deadline, product action, fine/appeal details, reinspection/reopening instruction and responsible owner.</w:t>
            </w:r>
          </w:p>
        </w:tc>
        <w:tc>
          <w:tcPr>
            <w:tcW w:type="dxa" w:w="410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Closure action matrix signed by camp manager and Food Safety In-Charge.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2. Contain public-health risk</w:t>
            </w:r>
          </w:p>
        </w:tc>
        <w:tc>
          <w:tcPr>
            <w:tcW w:type="dxa" w:w="53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Withdraw food from use/service, trace potentially affected batches/meals/recipients, notify authorities where a food risk exists, and initiate withdrawal/recovery where required. Treat illness/poisoning allegation as an incident; preserve samples/evidence and follow authority instruction. [1]</w:t>
            </w:r>
          </w:p>
        </w:tc>
        <w:tc>
          <w:tcPr>
            <w:tcW w:type="dxa" w:w="410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Withdrawal/recall register; distribution list; communications log; illness report; authority contact log.</w:t>
            </w:r>
          </w:p>
        </w:tc>
      </w:tr>
      <w:tr>
        <w:tc>
          <w:tcPr>
            <w:tcW w:type="dxa" w:w="10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3. Correct causes, not symptoms</w:t>
            </w:r>
          </w:p>
        </w:tc>
        <w:tc>
          <w:tcPr>
            <w:tcW w:type="dxa" w:w="53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Carry out root-cause analysis. Repair infrastructure; eliminate pests; clean/sanitise; validate water/ice and equipment; re-train/medically clear staff; redesign flow or process where necessary. Do not close an action until effectiveness is demonstrated.</w:t>
            </w:r>
          </w:p>
        </w:tc>
        <w:tc>
          <w:tcPr>
            <w:tcW w:type="dxa" w:w="410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CAPA, purchase/work orders, pest report, calibration certificates, cleaning records, training/health records, before/after photos.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4. Validate internally</w:t>
            </w:r>
          </w:p>
        </w:tc>
        <w:tc>
          <w:tcPr>
            <w:tcW w:type="dxa" w:w="53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Conduct a management-led verification before submitting/requesting reinspection. Check every cited item against the inspection notice and HACCP/PRP requirements; perform documented self-inspection in Abu Dhabi.</w:t>
            </w:r>
          </w:p>
        </w:tc>
        <w:tc>
          <w:tcPr>
            <w:tcW w:type="dxa" w:w="410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Completed close-out checklist; self-inspection; internal audit; evidence index.</w:t>
            </w:r>
          </w:p>
        </w:tc>
      </w:tr>
      <w:tr>
        <w:tc>
          <w:tcPr>
            <w:tcW w:type="dxa" w:w="10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5. Submit / respond through official route</w:t>
            </w:r>
          </w:p>
        </w:tc>
        <w:tc>
          <w:tcPr>
            <w:tcW w:type="dxa" w:w="53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Dubai: attach corrective-action form through the licence-linked inspection result and follow report/portal instruction. Abu Dhabi: follow closure report/authority instruction and use approved self-inspection evidence. Request clarification if no route/deadline is clear.</w:t>
            </w:r>
          </w:p>
        </w:tc>
        <w:tc>
          <w:tcPr>
            <w:tcW w:type="dxa" w:w="410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Submission receipt/screenshot; email; authority reference; evidence pack version.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6. Authority verification and reopening</w:t>
            </w:r>
          </w:p>
        </w:tc>
        <w:tc>
          <w:tcPr>
            <w:tcW w:type="dxa" w:w="53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Keep the facility closed until the authority verifies correction and formally permits reopening/lifts closure. After reopening, intensify daily verification and management review for the agreed stabilization period.</w:t>
            </w:r>
          </w:p>
        </w:tc>
        <w:tc>
          <w:tcPr>
            <w:tcW w:type="dxa" w:w="410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Written lifting/reopening approval; reinspection report; post-reopening intensified monitoring and review.</w:t>
            </w:r>
          </w:p>
        </w:tc>
      </w:tr>
    </w:tbl>
    <w:p>
      <w:pPr>
        <w:spacing w:after="0"/>
      </w:pPr>
    </w:p>
    <w:p>
      <w:pPr>
        <w:pStyle w:val="Heading1"/>
      </w:pPr>
      <w:r>
        <w:t>3. Dubai Municipality: Corrective Action and Re-Inspection Detail</w:t>
      </w:r>
    </w:p>
    <w:p>
      <w:r>
        <w:t>Dubai’s published inspection information confirms that inspection reports and results are accessible through the licence-linked establishment page, corrective-action forms can be attached to the result, and objections may be filed through a dedicated link. The Municipality schedules activity-specific inspections according to the establishment’s risk evaluation. [3] A closed camp kitchen should therefore build its response around the exact inspection report rather than a generic checklist.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100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Step</w:t>
            </w:r>
          </w:p>
        </w:tc>
        <w:tc>
          <w:tcPr>
            <w:tcW w:type="dxa" w:w="604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Dubai close-out action</w:t>
            </w:r>
          </w:p>
        </w:tc>
        <w:tc>
          <w:tcPr>
            <w:tcW w:type="dxa" w:w="338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Verification gate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A. Retrieve and control</w:t>
            </w:r>
          </w:p>
        </w:tc>
        <w:tc>
          <w:tcPr>
            <w:tcW w:type="dxa" w:w="60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Download/retain the full inspection and closure report. Reproduce every non-conformance in a CAPA matrix with an accountable person and closure evidence.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No omitted item; no reliance on verbal interpretation.</w:t>
            </w:r>
          </w:p>
        </w:tc>
      </w:tr>
      <w:tr>
        <w:tc>
          <w:tcPr>
            <w:tcW w:type="dxa" w:w="10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B. Correct and document</w:t>
            </w:r>
          </w:p>
        </w:tc>
        <w:tc>
          <w:tcPr>
            <w:tcW w:type="dxa" w:w="60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Use the corrective-action form linked to the inspection result. Attach clear dated evidence; show correction, root cause, prevention and responsible person.</w:t>
            </w:r>
          </w:p>
        </w:tc>
        <w:tc>
          <w:tcPr>
            <w:tcW w:type="dxa" w:w="33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Evidence is traceable to the particular inspection point.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C. Product / facility controls</w:t>
            </w:r>
          </w:p>
        </w:tc>
        <w:tc>
          <w:tcPr>
            <w:tcW w:type="dxa" w:w="60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Retain food, logs and records; comply with any hold, seizure, destruction or sampling directions. Do not dispose of retained/held food without written authority permission.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Product action is authorised and traceable.</w:t>
            </w:r>
          </w:p>
        </w:tc>
      </w:tr>
      <w:tr>
        <w:tc>
          <w:tcPr>
            <w:tcW w:type="dxa" w:w="10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D. Submit / object</w:t>
            </w:r>
          </w:p>
        </w:tc>
        <w:tc>
          <w:tcPr>
            <w:tcW w:type="dxa" w:w="60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Submit the corrective response using the authority route. If disputing a result, use the dedicated objection link and preserve supporting evidence; do not use an objection to delay urgent containment.</w:t>
            </w:r>
          </w:p>
        </w:tc>
        <w:tc>
          <w:tcPr>
            <w:tcW w:type="dxa" w:w="33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Receipt and time stamp retained.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E. Verification / reopening</w:t>
            </w:r>
          </w:p>
        </w:tc>
        <w:tc>
          <w:tcPr>
            <w:tcW w:type="dxa" w:w="60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Follow the specific closure notice’s reinspection, evidence and lifting requirements. Keep closed until Dubai Municipality confirms the operating status.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Written approval/updated official status is on file.</w:t>
            </w:r>
          </w:p>
        </w:tc>
      </w:tr>
    </w:tbl>
    <w:p>
      <w:pPr>
        <w:spacing w:after="0"/>
      </w:pPr>
    </w:p>
    <w:p>
      <w:r>
        <w:t>Dubai Local Order No. 11 of 2003 also permits the competent department to remedy uncorrected harm and recover costs plus 25% administrative fees, and permits review of records/registers and seizure of non-compliant goods/materials. [6]</w:t>
      </w:r>
    </w:p>
    <w:p>
      <w:r>
        <w:br w:type="page"/>
      </w:r>
    </w:p>
    <w:p>
      <w:pPr>
        <w:pStyle w:val="Heading1"/>
      </w:pPr>
      <w:r>
        <w:t>4. ADAFSA: Corrective Action and Re-Inspection Detail</w:t>
      </w:r>
    </w:p>
    <w:p>
      <w:r>
        <w:t>ADAFSA’s public closure notice confirms that closure continues while its causes exist, and resumption requires rectification, fulfilment of activity requirements and removal of violation causes. [4] The food-safety page requires regular, documented self-inspection through the approved checklist, recording findings, proposed corrective actions and follow-up data; its smart inspection tools capture inspection history and corrective actions. [5]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100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Step</w:t>
            </w:r>
          </w:p>
        </w:tc>
        <w:tc>
          <w:tcPr>
            <w:tcW w:type="dxa" w:w="604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ADAFSA close-out action</w:t>
            </w:r>
          </w:p>
        </w:tc>
        <w:tc>
          <w:tcPr>
            <w:tcW w:type="dxa" w:w="338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Verification gate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A. Interpret closure cause</w:t>
            </w:r>
          </w:p>
        </w:tc>
        <w:tc>
          <w:tcPr>
            <w:tcW w:type="dxa" w:w="60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Map each closure cause and cited breach to containment, root cause, corrective action, preventive action, evidence and manager sign-off. Treat repeated / high-risk issues as a system failure, not a one-off cleaning task.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All causes and all activity requirements assigned.</w:t>
            </w:r>
          </w:p>
        </w:tc>
      </w:tr>
      <w:tr>
        <w:tc>
          <w:tcPr>
            <w:tcW w:type="dxa" w:w="10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B. Use approved self-inspection</w:t>
            </w:r>
          </w:p>
        </w:tc>
        <w:tc>
          <w:tcPr>
            <w:tcW w:type="dxa" w:w="60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Conduct the periodic / event-triggered self-inspection using the ADAFSA-approved checklist. Document detailed findings, proposed corrective actions and follow-up.</w:t>
            </w:r>
          </w:p>
        </w:tc>
        <w:tc>
          <w:tcPr>
            <w:tcW w:type="dxa" w:w="33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Self-inspection reflects actual conditions, not an assumed pass.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C. Complete readiness evidence</w:t>
            </w:r>
          </w:p>
        </w:tc>
        <w:tc>
          <w:tcPr>
            <w:tcW w:type="dxa" w:w="60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Show hygiene, pest, label, storage, temperature, staff competence, infrastructure, traceability and records are controlled. Train food handlers; EFST requires knowledge of cross-contamination, cooking/processing, cleaning, chilling and food-safety management. [5]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Current inspection-ready evidence pack is available at site.</w:t>
            </w:r>
          </w:p>
        </w:tc>
      </w:tr>
      <w:tr>
        <w:tc>
          <w:tcPr>
            <w:tcW w:type="dxa" w:w="10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D. Respond through notice instruction</w:t>
            </w:r>
          </w:p>
        </w:tc>
        <w:tc>
          <w:tcPr>
            <w:tcW w:type="dxa" w:w="60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Use the closure notice/inspection-report instruction and authority communication channel. Ask ADAFSA for the specific reinspection/lifting path if it is not expressly stated.</w:t>
            </w:r>
          </w:p>
        </w:tc>
        <w:tc>
          <w:tcPr>
            <w:tcW w:type="dxa" w:w="33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Written response or case reference retained.</w:t>
            </w:r>
          </w:p>
        </w:tc>
      </w:tr>
      <w:tr>
        <w:tc>
          <w:tcPr>
            <w:tcW w:type="dxa" w:w="10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E. Resume only after decision</w:t>
            </w:r>
          </w:p>
        </w:tc>
        <w:tc>
          <w:tcPr>
            <w:tcW w:type="dxa" w:w="60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Do not resume based only on correction completion. Wait for authority acceptance / closure lifting, then monitor heavily and retain proof of effectiveness.</w:t>
            </w:r>
          </w:p>
        </w:tc>
        <w:tc>
          <w:tcPr>
            <w:tcW w:type="dxa" w:w="33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Written decision / reinspection outcome on file.</w:t>
            </w:r>
          </w:p>
        </w:tc>
      </w:tr>
    </w:tbl>
    <w:p>
      <w:pPr>
        <w:spacing w:after="0"/>
      </w:pPr>
    </w:p>
    <w:p>
      <w:pPr>
        <w:pStyle w:val="Heading1"/>
      </w:pPr>
      <w:r>
        <w:t>5. HACCP Documentation: Remote Camp-Kitchen Control Architecture</w:t>
      </w:r>
    </w:p>
    <w:p>
      <w:r>
        <w:t>A remote camp kitchen should document a HACCP-based food-safety management system proportionate to its approved activity and menu. The federal legal baseline is risk-analysis-based controls and documented registers, while the local authority/approval conditions determine any more specific documentation. The system should be controlled, current, site-specific and verifiable; a generic HACCP binder without daily evidence is not sufficient. [1] [2]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180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Document layer</w:t>
            </w:r>
          </w:p>
        </w:tc>
        <w:tc>
          <w:tcPr>
            <w:tcW w:type="dxa" w:w="460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Content required</w:t>
            </w:r>
          </w:p>
        </w:tc>
        <w:tc>
          <w:tcPr>
            <w:tcW w:type="dxa" w:w="403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Remote-camp emphasis</w:t>
            </w:r>
          </w:p>
        </w:tc>
      </w:tr>
      <w:tr>
        <w:tc>
          <w:tcPr>
            <w:tcW w:type="dxa" w:w="18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A. System governance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Food-safety policy; scope/activity and menu; organization chart; Food Safety In-Charge; document control; legal/authority register; emergency contacts.</w:t>
            </w:r>
          </w:p>
        </w:tc>
        <w:tc>
          <w:tcPr>
            <w:tcW w:type="dxa" w:w="40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Identify operating emirate, camp location, kitchen/recipient sites, supply route and communications during loss of contact.</w:t>
            </w:r>
          </w:p>
        </w:tc>
      </w:tr>
      <w:tr>
        <w:tc>
          <w:tcPr>
            <w:tcW w:type="dxa" w:w="180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B. Prerequisite programmes (PRPs)</w:t>
            </w:r>
          </w:p>
        </w:tc>
        <w:tc>
          <w:tcPr>
            <w:tcW w:type="dxa" w:w="46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Personal hygiene/fitness; cleaning/sanitation; pest management; water/ice; waste; maintenance; calibration; supplier approval; allergen/chemical control; food transport; training; visitor control.</w:t>
            </w:r>
          </w:p>
        </w:tc>
        <w:tc>
          <w:tcPr>
            <w:tcW w:type="dxa" w:w="40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Power/cold-chain resilience, potable water/ice sources, generator contingency, remote waste collection, staff transport/accommodation and delivery-vehicle hygiene.</w:t>
            </w:r>
          </w:p>
        </w:tc>
      </w:tr>
      <w:tr>
        <w:tc>
          <w:tcPr>
            <w:tcW w:type="dxa" w:w="18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C. HACCP plan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Product description; intended consumer; verified flow diagram; hazard analysis; control measure; CCP/operational PRP decision; critical/operating limits; monitoring; corrective action; verification; record.</w:t>
            </w:r>
          </w:p>
        </w:tc>
        <w:tc>
          <w:tcPr>
            <w:tcW w:type="dxa" w:w="40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Separate flows for receiving, storage, raw preparation, cooking, cooling, hot/cold holding, packing, dispatch, transit and recipient-site handover.</w:t>
            </w:r>
          </w:p>
        </w:tc>
      </w:tr>
      <w:tr>
        <w:tc>
          <w:tcPr>
            <w:tcW w:type="dxa" w:w="180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D. Traceability and incident system</w:t>
            </w:r>
          </w:p>
        </w:tc>
        <w:tc>
          <w:tcPr>
            <w:tcW w:type="dxa" w:w="46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Supplier and recipient/distribution records; batch/lot control; withdrawal/recall; food complaint/illness investigation; authority-notification process.</w:t>
            </w:r>
          </w:p>
        </w:tc>
        <w:tc>
          <w:tcPr>
            <w:tcW w:type="dxa" w:w="40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Record meal/delivery destination, driver/vehicle, dispatch and handover time, quantity and batch so the camp can target a withdrawal.</w:t>
            </w:r>
          </w:p>
        </w:tc>
      </w:tr>
      <w:tr>
        <w:tc>
          <w:tcPr>
            <w:tcW w:type="dxa" w:w="18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E. Verification and improvement</w:t>
            </w:r>
          </w:p>
        </w:tc>
        <w:tc>
          <w:tcPr>
            <w:tcW w:type="dxa" w:w="46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Self-inspection; internal audit; management review; calibration; microbiological/water testing where risk assessment/authority specifies; CAPA effectiveness.</w:t>
            </w:r>
          </w:p>
        </w:tc>
        <w:tc>
          <w:tcPr>
            <w:tcW w:type="dxa" w:w="40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Use remote review or dashboard only as supplement; physical verification remains necessary.</w:t>
            </w:r>
          </w:p>
        </w:tc>
      </w:tr>
    </w:tbl>
    <w:p>
      <w:pPr>
        <w:spacing w:after="0"/>
      </w:pPr>
    </w:p>
    <w:p>
      <w:pPr>
        <w:pStyle w:val="Heading1"/>
      </w:pPr>
      <w:r>
        <w:t>6. Daily Food-Safety Records: Legally Anchored vs. Operationally Designed</w:t>
      </w:r>
    </w:p>
    <w:p>
      <w:r>
        <w:t>The federal Executive Regulations specifically prescribe supplier/customer/batch traceability data and retention periods. They do not publish one universal daily form set or a universal temperature limit for every meal process. The daily logs below are an inspection-ready design that supports the statutory duties, Dubai record availability and ADAFSA documented self-inspection. The approved HACCP plan, current authority code/service conditions and menu/process must set the final limits and frequencies. [1] [2] [5]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42"/>
        <w:gridCol w:w="2642"/>
        <w:gridCol w:w="2642"/>
        <w:gridCol w:w="2642"/>
      </w:tblGrid>
      <w:tr>
        <w:trPr>
          <w:tblHeader w:val="true"/>
        </w:trPr>
        <w:tc>
          <w:tcPr>
            <w:tcW w:type="dxa" w:w="194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Record</w:t>
            </w:r>
          </w:p>
        </w:tc>
        <w:tc>
          <w:tcPr>
            <w:tcW w:type="dxa" w:w="468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Minimum information to log</w:t>
            </w:r>
          </w:p>
        </w:tc>
        <w:tc>
          <w:tcPr>
            <w:tcW w:type="dxa" w:w="194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Frequency / trigger</w:t>
            </w:r>
          </w:p>
        </w:tc>
        <w:tc>
          <w:tcPr>
            <w:tcW w:type="dxa" w:w="187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Status</w:t>
            </w:r>
          </w:p>
        </w:tc>
      </w:tr>
      <w:tr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Pre-operational hygiene and facility check</w:t>
            </w:r>
          </w:p>
        </w:tc>
        <w:tc>
          <w:tcPr>
            <w:tcW w:type="dxa" w:w="46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Date/time; handwash, hygiene, drainage, equipment condition, pest signs, cleaning completion, chemical storage, corrective action/signature.</w:t>
            </w:r>
          </w:p>
        </w:tc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Before production / opening each day.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Recommended daily control; use authority checklist where applicable.</w:t>
            </w:r>
          </w:p>
        </w:tc>
      </w:tr>
      <w:tr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Food-handler fitness and hygiene</w:t>
            </w:r>
          </w:p>
        </w:tc>
        <w:tc>
          <w:tcPr>
            <w:tcW w:type="dxa" w:w="46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Name/shift; illness declaration; fitness/health-card or EFST status as applicable; protective clothing/hygiene issue; supervisor action.</w:t>
            </w:r>
          </w:p>
        </w:tc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Start of shift and any illness event.</w:t>
            </w:r>
          </w:p>
        </w:tc>
        <w:tc>
          <w:tcPr>
            <w:tcW w:type="dxa" w:w="18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Supports federal training/medical-fitness duty; ADAFSA EFST requirement.</w:t>
            </w:r>
          </w:p>
        </w:tc>
      </w:tr>
      <w:tr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Receiving and supplier verification</w:t>
            </w:r>
          </w:p>
        </w:tc>
        <w:tc>
          <w:tcPr>
            <w:tcW w:type="dxa" w:w="46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Supplier; date/time; item; quantity; batch; expiry; condition; delivery temperature if applicable; accept/reject; receiver signature.</w:t>
            </w:r>
          </w:p>
        </w:tc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Every delivery.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Federal Article 18 traceability data plus operational safety control.</w:t>
            </w:r>
          </w:p>
        </w:tc>
      </w:tr>
      <w:tr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Storage / cold-chain monitoring</w:t>
            </w:r>
          </w:p>
        </w:tc>
        <w:tc>
          <w:tcPr>
            <w:tcW w:type="dxa" w:w="46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Location/equipment ID; actual reading; approved operating limit; time; operator; deviation/corrective action.</w:t>
            </w:r>
          </w:p>
        </w:tc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Per approved HACCP frequency; more frequently after power/equipment alarm.</w:t>
            </w:r>
          </w:p>
        </w:tc>
        <w:tc>
          <w:tcPr>
            <w:tcW w:type="dxa" w:w="18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Operational HACCP record; exact limit set in approved plan.</w:t>
            </w:r>
          </w:p>
        </w:tc>
      </w:tr>
      <w:tr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Cooking / reheating / cooling / holding</w:t>
            </w:r>
          </w:p>
        </w:tc>
        <w:tc>
          <w:tcPr>
            <w:tcW w:type="dxa" w:w="46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Menu/batch; process; actual temperature/time; approved limit; operator; corrective action; verifier.</w:t>
            </w:r>
          </w:p>
        </w:tc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Every batch or per approved HACCP plan.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Operational HACCP record; exact limits set in approved plan.</w:t>
            </w:r>
          </w:p>
        </w:tc>
      </w:tr>
      <w:tr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Dispatch / transport / meal handover</w:t>
            </w:r>
          </w:p>
        </w:tc>
        <w:tc>
          <w:tcPr>
            <w:tcW w:type="dxa" w:w="46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Meal/batch; destination; quantity; vehicle; dispatch temperature/time; approved limit; driver; recipient/handover confirmation; arrival condition.</w:t>
            </w:r>
          </w:p>
        </w:tc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Every dispatch/delivery.</w:t>
            </w:r>
          </w:p>
        </w:tc>
        <w:tc>
          <w:tcPr>
            <w:tcW w:type="dxa" w:w="18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Critical remote-camp traceability and transport control.</w:t>
            </w:r>
          </w:p>
        </w:tc>
      </w:tr>
      <w:tr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Cleaning and sanitation</w:t>
            </w:r>
          </w:p>
        </w:tc>
        <w:tc>
          <w:tcPr>
            <w:tcW w:type="dxa" w:w="46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Area/equipment; cleaning task; chemical/dilution where used; completion time; checker; corrective action.</w:t>
            </w:r>
          </w:p>
        </w:tc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As cleaning schedule and after contamination event.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PRP evidence.</w:t>
            </w:r>
          </w:p>
        </w:tc>
      </w:tr>
      <w:tr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Water / ice / power contingency</w:t>
            </w:r>
          </w:p>
        </w:tc>
        <w:tc>
          <w:tcPr>
            <w:tcW w:type="dxa" w:w="46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Water/ice source; sanitation/condition; power interruption; generator/backup response; cold-chain impact; disposition.</w:t>
            </w:r>
          </w:p>
        </w:tc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Daily source check and every disruption.</w:t>
            </w:r>
          </w:p>
        </w:tc>
        <w:tc>
          <w:tcPr>
            <w:tcW w:type="dxa" w:w="18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Remote-site enhanced control; testing frequency is risk/authority dependent.</w:t>
            </w:r>
          </w:p>
        </w:tc>
      </w:tr>
      <w:tr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Waste / pest sighting</w:t>
            </w:r>
          </w:p>
        </w:tc>
        <w:tc>
          <w:tcPr>
            <w:tcW w:type="dxa" w:w="46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Waste collection; bin status; pest sighting/activity; contractor action; food exposure/containment; follow-up.</w:t>
            </w:r>
          </w:p>
        </w:tc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Daily check; immediate upon sighting.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PRP evidence; escalates quickly after pest evidence.</w:t>
            </w:r>
          </w:p>
        </w:tc>
      </w:tr>
      <w:tr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CAPA / food disposal</w:t>
            </w:r>
          </w:p>
        </w:tc>
        <w:tc>
          <w:tcPr>
            <w:tcW w:type="dxa" w:w="46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Non-conformance; food/process affected; immediate containment; root cause; product disposition; authority reference; corrective/preventive action; effectiveness.</w:t>
            </w:r>
          </w:p>
        </w:tc>
        <w:tc>
          <w:tcPr>
            <w:tcW w:type="dxa" w:w="194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Every deviation/complaint/incident.</w:t>
            </w:r>
          </w:p>
        </w:tc>
        <w:tc>
          <w:tcPr>
            <w:tcW w:type="dxa" w:w="18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System evidence and closure/reinspection proof.</w:t>
            </w:r>
          </w:p>
        </w:tc>
      </w:tr>
      <w:tr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Self-inspection</w:t>
            </w:r>
          </w:p>
        </w:tc>
        <w:tc>
          <w:tcPr>
            <w:tcW w:type="dxa" w:w="46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Approved checklist; finding; risk; corrective action; owner; target; follow-up and completion.</w:t>
            </w:r>
          </w:p>
        </w:tc>
        <w:tc>
          <w:tcPr>
            <w:tcW w:type="dxa" w:w="194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Periodically per authority / more often after closure or major change.</w:t>
            </w:r>
          </w:p>
        </w:tc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Mandatory documented ADAFSA self-inspection; useful universal control.</w:t>
            </w:r>
          </w:p>
        </w:tc>
      </w:tr>
    </w:tbl>
    <w:p>
      <w:pPr>
        <w:spacing w:after="0"/>
      </w:pPr>
    </w:p>
    <w:p>
      <w:pPr>
        <w:pStyle w:val="Heading1"/>
      </w:pPr>
      <w:r>
        <w:t>7. Traceability, Retention and Authority Availability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187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Requirement</w:t>
            </w:r>
          </w:p>
        </w:tc>
        <w:tc>
          <w:tcPr>
            <w:tcW w:type="dxa" w:w="518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Rule / data</w:t>
            </w:r>
          </w:p>
        </w:tc>
        <w:tc>
          <w:tcPr>
            <w:tcW w:type="dxa" w:w="316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Remote-camp implementation</w:t>
            </w:r>
          </w:p>
        </w:tc>
      </w:tr>
      <w:tr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Supplier record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Supplier name/address, receipt date, nature/quantity of food, batch number and other authority-required data. [2]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Retain approved-supplier master; scan invoices/delivery notes; link food batch to menu/production batch.</w:t>
            </w:r>
          </w:p>
        </w:tc>
      </w:tr>
      <w:tr>
        <w:tc>
          <w:tcPr>
            <w:tcW w:type="dxa" w:w="18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Recipient / customer record</w:t>
            </w:r>
          </w:p>
        </w:tc>
        <w:tc>
          <w:tcPr>
            <w:tcW w:type="dxa" w:w="51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Customer name/address, supply date, nature/quantity and batch number; direct-to-consumer exception applies in the regulation. [2]</w:t>
            </w:r>
          </w:p>
        </w:tc>
        <w:tc>
          <w:tcPr>
            <w:tcW w:type="dxa" w:w="316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For camp catering, identify recipient camp/site/contact; keep dispatch and handover sheet even if meals are served to workers.</w:t>
            </w:r>
          </w:p>
        </w:tc>
      </w:tr>
      <w:tr>
        <w:tc>
          <w:tcPr>
            <w:tcW w:type="dxa" w:w="187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Retention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At least 180 days after expiry for food with shelf life &gt;5 years; 180 days from supply for short-life/defined consumption-date food, shelf life &lt;3 months or direct consumer distribution; five years in other cases. [2]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Set a document-retention schedule that does not delete logs before the applicable period; keep digital backup accessible offline/at camp.</w:t>
            </w:r>
          </w:p>
        </w:tc>
      </w:tr>
      <w:tr>
        <w:tc>
          <w:tcPr>
            <w:tcW w:type="dxa" w:w="187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Availability and review</w:t>
            </w:r>
          </w:p>
        </w:tc>
        <w:tc>
          <w:tcPr>
            <w:tcW w:type="dxa" w:w="51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Provide copies during retention period; keep traceability efficient, periodically reviewed and updated. [2]</w:t>
            </w:r>
          </w:p>
        </w:tc>
        <w:tc>
          <w:tcPr>
            <w:tcW w:type="dxa" w:w="316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Test a mock recall at least annually and after any supply/delivery route change; time how quickly staff can identify recipients and batches.</w:t>
            </w:r>
          </w:p>
        </w:tc>
      </w:tr>
    </w:tbl>
    <w:p>
      <w:pPr>
        <w:spacing w:after="0"/>
      </w:pPr>
    </w:p>
    <w:p>
      <w:pPr>
        <w:pStyle w:val="Heading1"/>
      </w:pPr>
      <w:r>
        <w:t>8. Reinspection Evidence Pack — Index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23"/>
        <w:gridCol w:w="3523"/>
        <w:gridCol w:w="3523"/>
      </w:tblGrid>
      <w:tr>
        <w:trPr>
          <w:tblHeader w:val="true"/>
        </w:trPr>
        <w:tc>
          <w:tcPr>
            <w:tcW w:type="dxa" w:w="64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Tab</w:t>
            </w:r>
          </w:p>
        </w:tc>
        <w:tc>
          <w:tcPr>
            <w:tcW w:type="dxa" w:w="741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Evidence</w:t>
            </w:r>
          </w:p>
        </w:tc>
        <w:tc>
          <w:tcPr>
            <w:tcW w:type="dxa" w:w="216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Owner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1</w:t>
            </w:r>
          </w:p>
        </w:tc>
        <w:tc>
          <w:tcPr>
            <w:tcW w:type="dxa" w:w="74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Closure/inspection notice, legal reference, communication log and the authoritative reopening instruction.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 Safety In-Charge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2</w:t>
            </w:r>
          </w:p>
        </w:tc>
        <w:tc>
          <w:tcPr>
            <w:tcW w:type="dxa" w:w="741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Point-by-point CAPA: containment, root cause, correction, prevention, evidence, date and effectiveness.</w:t>
            </w:r>
          </w:p>
        </w:tc>
        <w:tc>
          <w:tcPr>
            <w:tcW w:type="dxa" w:w="216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HSE / Quality Manager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3</w:t>
            </w:r>
          </w:p>
        </w:tc>
        <w:tc>
          <w:tcPr>
            <w:tcW w:type="dxa" w:w="74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Product control: hold, disposal/destruction authority, withdrawal/recall and distribution/recipient list.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Storekeeper / Catering Manager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4</w:t>
            </w:r>
          </w:p>
        </w:tc>
        <w:tc>
          <w:tcPr>
            <w:tcW w:type="dxa" w:w="741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Facility correction: cleaning, pest, repair, maintenance, water/ice, drainage, ventilation, equipment and calibration.</w:t>
            </w:r>
          </w:p>
        </w:tc>
        <w:tc>
          <w:tcPr>
            <w:tcW w:type="dxa" w:w="216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Camp Manager / Maintenance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5</w:t>
            </w:r>
          </w:p>
        </w:tc>
        <w:tc>
          <w:tcPr>
            <w:tcW w:type="dxa" w:w="74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People: roster, medical fitness/health cards, EFST/training, toolbox briefing and competency sign-offs.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HR / Food Safety In-Charge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6</w:t>
            </w:r>
          </w:p>
        </w:tc>
        <w:tc>
          <w:tcPr>
            <w:tcW w:type="dxa" w:w="741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HACCP/PRP records before closure, corrective period and verified current operation.</w:t>
            </w:r>
          </w:p>
        </w:tc>
        <w:tc>
          <w:tcPr>
            <w:tcW w:type="dxa" w:w="216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 Safety In-Charge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7</w:t>
            </w:r>
          </w:p>
        </w:tc>
        <w:tc>
          <w:tcPr>
            <w:tcW w:type="dxa" w:w="74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Self-inspection/internal audit, management verification and the formal submission/reinspection/written reopening outcome.</w:t>
            </w:r>
          </w:p>
        </w:tc>
        <w:tc>
          <w:tcPr>
            <w:tcW w:type="dxa" w:w="216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Management Representative</w:t>
            </w:r>
          </w:p>
        </w:tc>
      </w:tr>
    </w:tbl>
    <w:p>
      <w:pPr>
        <w:spacing w:after="0"/>
      </w:pPr>
    </w:p>
    <w:p>
      <w:pPr>
        <w:pStyle w:val="Heading1"/>
      </w:pPr>
      <w:r>
        <w:t>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85"/>
        <w:gridCol w:w="5285"/>
      </w:tblGrid>
      <w:tr>
        <w:trPr>
          <w:tblHeader w:val="true"/>
        </w:trPr>
        <w:tc>
          <w:tcPr>
            <w:tcW w:type="dxa" w:w="64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Ref.</w:t>
            </w:r>
          </w:p>
        </w:tc>
        <w:tc>
          <w:tcPr>
            <w:tcW w:type="dxa" w:w="979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Official / primary source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[1]</w:t>
            </w:r>
          </w:p>
        </w:tc>
        <w:tc>
          <w:tcPr>
            <w:tcW w:type="dxa" w:w="97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Federal Law No. 10 of 2015 Concerning Food Safety: https://uaelegislation.gov.ae/en/legislations/1161/download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[2]</w:t>
            </w:r>
          </w:p>
        </w:tc>
        <w:tc>
          <w:tcPr>
            <w:tcW w:type="dxa" w:w="97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Cabinet Resolution No. 26 of 2017 / Executive Regulations, including Article 18 (Records &amp; Data) and Article 22: https://uaelegislation.gov.ae/en/legislations/1160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[3]</w:t>
            </w:r>
          </w:p>
        </w:tc>
        <w:tc>
          <w:tcPr>
            <w:tcW w:type="dxa" w:w="97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 Municipality, 69,500 food inspections / inspection report and corrective-action access: https://www.dm.gov.ae/dubai-municipality-carries-out-69500-food-inspections-in-2020/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[4]</w:t>
            </w:r>
          </w:p>
        </w:tc>
        <w:tc>
          <w:tcPr>
            <w:tcW w:type="dxa" w:w="97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ADAFSA closure notice — administrative closure/reopening condition: https://www.adafsa.gov.ae/en/mediahub/news/Pages/02042026.aspx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[5]</w:t>
            </w:r>
          </w:p>
        </w:tc>
        <w:tc>
          <w:tcPr>
            <w:tcW w:type="dxa" w:w="97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ADAFSA Food Safety — documented self-inspection, EFST and smart inspection: https://www.adafsa.gov.ae/en/work/food-safety/Pages/default.aspx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[6]</w:t>
            </w:r>
          </w:p>
        </w:tc>
        <w:tc>
          <w:tcPr>
            <w:tcW w:type="dxa" w:w="97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 Local Order No. 11 of 2003: https://dlp.dubai.gov.ae/Legislation%20Reference/2003/Local%20Order%20No.%20(11)%20of%202003%20Concerning%20Public%20Health.html</w:t>
            </w:r>
          </w:p>
        </w:tc>
      </w:tr>
    </w:tbl>
    <w:p>
      <w:pPr>
        <w:spacing w:after="0"/>
      </w:pPr>
    </w:p>
    <w:p>
      <w:r>
        <w:t>Confirm the controlling Arabic text where relevant. Source access date: 19-Aug-2026. Live authority portals, closure notices, approval conditions and individual inspection reports may change the procedure and evidence expected for a particular camp kitchen.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49" w:right="835" w:bottom="749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95959"/>
        <w:sz w:val="14"/>
      </w:rPr>
      <w:t xml:space="preserve">Working compliance procedure — closure notice and local authority instruction prevail | 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256"/>
      <w:gridCol w:w="5256"/>
    </w:tblGrid>
    <w:tr>
      <w:tc>
        <w:tcPr>
          <w:tcW w:type="dxa" w:w="7704"/>
          <w:shd w:fill="17365D"/>
          <w:vAlign w:val="center"/>
        </w:tcPr>
        <w:p>
          <w:r/>
          <w:r>
            <w:rPr>
              <w:rFonts w:ascii="Arial" w:hAnsi="Arial"/>
              <w:b/>
              <w:color w:val="FFFFFF"/>
              <w:sz w:val="16"/>
            </w:rPr>
            <w:t>CAMP-KITCHEN FOOD SAFETY — CLOSURE, REINSPECTION &amp; RECORDS</w:t>
          </w:r>
        </w:p>
      </w:tc>
      <w:tc>
        <w:tcPr>
          <w:tcW w:type="dxa" w:w="2808"/>
          <w:shd w:fill="007B84"/>
          <w:vAlign w:val="center"/>
        </w:tcPr>
        <w:p>
          <w:pPr>
            <w:jc w:val="right"/>
          </w:pPr>
          <w:r/>
          <w:r>
            <w:rPr>
              <w:rFonts w:ascii="Arial" w:hAnsi="Arial"/>
              <w:b/>
              <w:color w:val="FFFFFF"/>
              <w:sz w:val="16"/>
            </w:rPr>
            <w:t>DUBAI / ABU DHABI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07B84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