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pStyle w:val="MdHeading1"/>
      </w:pPr>
      <w:r>
        <w:t xml:space="preserve">ADPHC CoP 46.0: Worker Extraction and Rescue Equipment for Confined Lower-Basement Conditions</w:t>
      </w:r>
    </w:p>
    <w:p>
      <w:pPr>
        <w:pStyle w:val="MdBlockquote"/>
      </w:pPr>
      <w:r>
        <w:rPr>
          <w:rStyle w:val="MdStrong"/>
          <w:b/>
          <w:bCs/>
        </w:rPr>
        <w:t xml:space="preserve">Scope warning:</w:t>
      </w:r>
      <w:r>
        <w:t xml:space="preserve"> CoP 46.0 is titled </w:t>
      </w:r>
      <w:r>
        <w:rPr>
          <w:rStyle w:val="MdStrong"/>
          <w:b/>
          <w:bCs/>
        </w:rPr>
        <w:t xml:space="preserve">Underground Construction</w:t>
      </w:r>
      <w:r>
        <w:t xml:space="preserve"> and uses tunnel/shaft terminology. It applies directly where the project falls within that scope. For a conventional lower basement, the Principal Contractor should confirm applicability with the relevant Abu Dhabi authority/permit route and adopt its controls where the same underground-access, evacuation or extraction hazards are present. The emergency plan must then be tailored to the basement geometry, occupancy, structural condition, rescue access and construction sequence.</w:t>
      </w: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1. Explicit CoP 46.0 extraction and rescue requirements</w:t>
      </w:r>
    </w:p>
    <w:p>
      <w:pPr>
        <w:pStyle w:val="MdParagraph"/>
      </w:pPr>
      <w:r>
        <w:t xml:space="preserve">The following table reports the </w:t>
      </w:r>
      <w:r>
        <w:rPr>
          <w:rStyle w:val="MdStrong"/>
          <w:b/>
          <w:bCs/>
        </w:rPr>
        <w:t xml:space="preserve">actual CoP 46.0 provisions</w:t>
      </w:r>
      <w:r>
        <w:t xml:space="preserve"> relevant to worker extraction, first aid, evacuation and access. It does not add generic standards that are not stated in the Code.</w:t>
      </w:r>
    </w:p>
    <w:p>
      <w:pPr>
        <w:pStyle w:val="MdSpace"/>
        <w:spacing w:before="0" w:after="60"/>
      </w:pP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CoP 46.0 provision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Mandatory requirement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Practical implication for a confined lower basement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Evidence to hold before shift release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3.8(a)(i): competent first aid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Competent persons trained in first aid and capable of responding rapidly must be available </w:t>
            </w:r>
            <w:r>
              <w:rPr>
                <w:rStyle w:val="MdStrong"/>
                <w:b/>
                <w:bCs/>
              </w:rPr>
              <w:t xml:space="preserve">on each shift during working hours</w:t>
            </w:r>
            <w:r>
              <w:t xml:space="preserve">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Roster first-aiders by workface/level; do not rely on an off-level or off-shift resource without a demonstrated response time.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Shift roster, training/competence records, radio/mobile contact and drill record.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3.8(a)(ii): casualty movement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In serious injury, a casualty must be moved </w:t>
            </w:r>
            <w:r>
              <w:rPr>
                <w:rStyle w:val="MdStrong"/>
                <w:b/>
                <w:bCs/>
              </w:rPr>
              <w:t xml:space="preserve">only by a trained first-aider</w:t>
            </w:r>
            <w:r>
              <w:t xml:space="preserve">, unless there is immediate risk of further injury.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Prevent untrained colleagues moving an injured worker down stairs, through a lift zone or over rebar/formwork.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Emergency briefing, first-aider allocation and casualty-movement procedure.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3.8(a)(iii): first-aid boxes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Clearly identified, readily accessible first-aid boxes must be provided; contents must be protected as far as reasonably practicable from dirt and damp; designated first-aiders must control them each shift.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Locate kits at the active workface and protected points, not only at surface office level.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Marked locations, inspection tags, inventory and nominated custodian.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3.8(a)(iv): stretchers and blankets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Provide and maintain stretchers and blankets </w:t>
            </w:r>
            <w:r>
              <w:rPr>
                <w:rStyle w:val="MdStrong"/>
                <w:b/>
                <w:bCs/>
              </w:rPr>
              <w:t xml:space="preserve">appropriate for the confined space</w:t>
            </w:r>
            <w:r>
              <w:t xml:space="preserve">; make them readily accessible in working areas and protect them from dirt/damp. Where access is by a shaft, store stretchers at tunnel level where reasonably practicable.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Choose equipment that fits the actual lower-basement route, turns, stairs/ramps and transfer points; keep it at level, not locked in a remote store.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Rescue-equipment schedule, dimensions/route compatibility assessment, inspection log and location plan.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3.8(a)(v): surface transfer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Provide an appropriate means to transport an injured person to the surface. Shaft lifting arrangements must take this into account.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rescue plan must define how a stretcher/casualty reaches grade level without relying on an unavailable or unsafe crane/hoist.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Approved casualty-transfer method, equipment capacity/compatibility record and drill.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3.9(a): rapid transfer and ambulance access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Formulate a clear plan for rapid injured-person transfer from work areas and ensure ambulances can quickly reach shaft tops or other access points.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Establish protected workface-to-casualty-collection-to-ambulance route, a surface rendezvous point, gate guide and traffic clearance.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Current route drawing, daily route check, gate instructions and ambulance-access verification.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3.9(b)(i): evacuation instructions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Give all employees clear instructions on emergency evacuation procedures.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Brief every trade and shift in the primary/secondary route, alarm, muster, no-entry and lift-zone rules.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Induction/toolbox record and multilingual route signage.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3.9(b)(ii): portable illumination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Provide each underground employee with a portable hand lamp or cap lamp unless natural light or emergency lighting provides appropriate illumination.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In a dark or power-loss-prone lower basement, document how lighting remains adequate for escape and rescue.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Lamp allocation/inspection or emergency-lighting test.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3.9(b)(iii): smoke/gas hazard equipment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Where a gas or smoke hazard may exist, provide escape-type breathing apparatus and an approved gas monitor.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This is a conditional control, based on the MSRA and fire/smoke/gas assessment; it is not an automatic requirement for every basement.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Hazard assessment, equipment issue/inspection, training and rescue plan.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3.9(b)(iv): 25+ persons underground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If </w:t>
            </w:r>
            <w:r>
              <w:rPr>
                <w:rStyle w:val="MdStrong"/>
                <w:b/>
                <w:bCs/>
              </w:rPr>
              <w:t xml:space="preserve">25 or more employees</w:t>
            </w:r>
            <w:r>
              <w:t xml:space="preserve"> work underground at any one time, provide a fully equipped and trained rescue team and an appropriate vehicle to transport an injured person to the nearest hospital.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This is the specific CoP numerical trigger. The rescue team must be site-available, trained and equipped—not an improvised group of labourers.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Maximum-occupancy record, rescue-team roster/competence, equipment list, vehicle arrangement and drill.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3.9(b)(v): fewer than 25 persons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If fewer than 25 people work underground, maintain a direct means of communication with local emergency services.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Keep reliable emergency-call capability at the workface and a route/coordinates protocol for responders.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Tested communications, emergency numbers and location card.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3.9(b)(vi): shaft egress / lifting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If a shaft is used for egress, arrange readily available lifting capability unless regular lifting means will operate during power failure.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Do not assume a normal hoist/crane will work during a power outage; predefine resilient casualty extraction.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Power-failure assessment, backup lifting arrangement and test record.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3.6: access and egress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Maintain safe access to and egress from all underground construction areas; control unused openings.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Keep basement exit routes safe, guarded and unobstructed; isolate unused openings to prevent falls/unauthorised access.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Access/egress plan, daily inspection and barrier record.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3.13.3: emergency lighting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Provide appropriate emergency power/lighting. In tunnels, emergency lighting is required at intervals not exceeding 10 m and at first-aid points, escape routes, emergency exits, access points, control/communication points and particular hazards.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10 m tunnel spacing should not be copied blindly into a basement. The project must show that emergency lighting covers equivalent critical points and supports safe escape.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Lighting layout, emergency-power assessment, functional test and route drill.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3.16.6: secondary egress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Where normal access is mechanical (hoist/crane), provide a secondary means of egress for plant breakdown; fixed access must be provided as early as reasonably practicable.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 single construction hoist or crane is not a sufficient sole escape/extraction route.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Primary/secondary egress drawing and access inspection.</w:t>
            </w:r>
          </w:p>
        </w:tc>
      </w:tr>
    </w:tbl>
    <w:p>
      <w:pPr>
        <w:pStyle w:val="Heading2"/>
        <w:pStyle w:val="MdHeading2"/>
      </w:pPr>
      <w:r>
        <w:t xml:space="preserve">2. Equipment standard: what CoP 46.0 actually mandates</w:t>
      </w:r>
    </w:p>
    <w:p>
      <w:pPr>
        <w:pStyle w:val="MdParagraph"/>
      </w:pPr>
      <w:r>
        <w:t xml:space="preserve">CoP 46.0 is primarily </w:t>
      </w:r>
      <w:r>
        <w:rPr>
          <w:rStyle w:val="MdStrong"/>
          <w:b/>
          <w:bCs/>
        </w:rPr>
        <w:t xml:space="preserve">performance and capability based</w:t>
      </w:r>
      <w:r>
        <w:t xml:space="preserve">. It mandates the availability, accessibility, maintenance and suitability of listed equipment; it does not prescribe a single brand, model or universal EN/BS/ASTM product standard for every rescue item.</w:t>
      </w:r>
    </w:p>
    <w:p>
      <w:pPr>
        <w:pStyle w:val="MdSpace"/>
        <w:spacing w:before="0" w:after="60"/>
      </w:pP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Equipment category</w:t>
            </w:r>
          </w:p>
        </w:tc>
        <w:tc>
          <w:tcPr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CoP 46.0 requirement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Project-specific standard or design decision to document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Stretcher and blanket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Maintain equipment appropriate to the confined space; accessible in emergency; protected from dirt/damp.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Confirm dimensions and turning radius against actual route; define carrying team, stair/ramp transfer method and inspection frequency.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First-aid boxes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Clearly identified, accessible, protected from dirt/damp and controlled by designated first-aiders each shift.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Match contents to approved first-aid/medical assessment and site medical provider; record replenishment and expiry.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Emergency lighting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Appropriate emergency resources/power; in tunnel context, lights at defined escape/first-aid/control points and at ≤10 m intervals.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Design basement coverage, battery autonomy, water/fire/mechanical protection, illumination validation and functional-test frequency.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Portable lamps / cap lamps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Supply unless natural/emergency lighting is adequate.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Select/inspect lamps for the environmental risk, charging controls and issue system.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Escape breathing apparatus and gas monitor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Required only where the risk assessment identifies gas or smoke hazard; gas monitor must be approved.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Specify the gas-monitor type, alarm set points, calibration/bump-test regime, escape apparatus selection and competency under the MSRA.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Rescue team equipment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For 25+ underground workers, a fully equipped and trained rescue team is required.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The emergency plan must define the credible rescue scenarios, capability boundary, equipment list, team size, medical interface and drill acceptance criteria.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Casualty-to-surface transfer / lifting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Provide appropriate means; shaft arrangements must support it; backup lifting capability needed if the regular means fails in power loss.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Verify compatible stretcher transfer, lifting arrangement, safe load/capacity, emergency power/backup and a mechanical-failure contingency.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Rescue vehicle</w:t>
            </w:r>
          </w:p>
        </w:tc>
        <w:tc>
          <w:tcPr>
            <w:tcBorders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For 25+ employees underground, provide an appropriate vehicle to transport an injured person to nearest hospital.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Define vehicle availability, driver, route, alternative when ambulance services take over and emergency-service coordination.</w:t>
            </w:r>
          </w:p>
        </w:tc>
      </w:tr>
    </w:tbl>
    <w:p>
      <w:pPr>
        <w:pStyle w:val="MdBlockquote"/>
      </w:pPr>
      <w:r>
        <w:rPr>
          <w:rStyle w:val="MdStrong"/>
          <w:b/>
          <w:bCs/>
        </w:rPr>
        <w:t xml:space="preserve">Key distinction:</w:t>
      </w:r>
      <w:r>
        <w:t xml:space="preserve"> “Fully equipped” is not a short shopping list. The equipment must be selected from the project’s credible collapse, crush, smoke/fire, flood, power-loss, access-blockage and medical scenarios, and the rescue team must be trained and drilled in its use. CoP 46.0 does not authorise improvised technical rescue by untrained site personnel.</w:t>
      </w: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3. Lower-basement adaptation checklist</w:t>
      </w:r>
    </w:p>
    <w:p>
      <w:pPr>
        <w:pStyle w:val="MdParagraph"/>
      </w:pPr>
      <w:r>
        <w:t xml:space="preserve">Before applying CoP 46.0 controls to a lower basement, the Principal Contractor should secure written confirmation of scope/permit applicability and complete the following project decisions:</w:t>
      </w:r>
    </w:p>
    <w:p>
      <w:pPr>
        <w:pStyle w:val="MdSpace"/>
        <w:spacing w:before="0" w:after="60"/>
      </w:pPr>
    </w:p>
    <w:tbl>
      <w:tblPr>
        <w:tblStyle w:val="MdTable"/>
        <w:tblW w:type="pct" w:w="100%"/>
        <w:tblBorders>
          <w:top w:val="single" w:color="E1E4E8" w:sz="4"/>
          <w:left w:val="none"/>
          <w:bottom w:val="single" w:color="E1E4E8" w:sz="4"/>
          <w:right w:val="none"/>
          <w:insideH w:val="single" w:color="E1E4E8" w:sz="2"/>
          <w:insideV w:val="single" w:color="F6F8FA" w:sz="2"/>
        </w:tblBorders>
      </w:tblPr>
      <w:tblGrid>
        <w:gridCol w:w="100"/>
        <w:gridCol w:w="100"/>
      </w:tblGrid>
      <w:tr>
        <w:trPr>
          <w:cantSplit/>
          <w:tblHeader/>
          <w:trHeight w:val="720" w:hRule="atLeast"/>
        </w:trPr>
        <w:tc>
          <w:tcPr>
            <w:tcBorders>
              <w:lef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Decision</w:t>
            </w:r>
          </w:p>
        </w:tc>
        <w:tc>
          <w:tcPr>
            <w:tcBorders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pStyle w:val="MdTableHeader"/>
            </w:pPr>
            <w:r>
              <w:t xml:space="preserve">Required project output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Occupancy trigger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Confirm maximum people simultaneously below grade. If 25+, apply CoP 46.0’s trained, fully equipped rescue-team and transport-vehicle trigger.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Route capacity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Demonstrate that the primary and secondary routes can move a stretcher/carry team and allow emergency-service access; determine width, turns, slopes and vertical-transfer method from the actual drawings.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Access resilience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Identify at least one route that does not depend on the normal hoist/crane or the same power source.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SIMOPS separation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Keep worker extraction and casualty routes outside crane lift/fall zones, concrete-pump hose movement, mobile plant, material landing and dewatering/electrical hazards.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Structural stability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Define no-entry boundaries and emergency-service handover for collapse, formwork failure, shoring movement or a compromised slab.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Medical response</w:t>
            </w:r>
          </w:p>
        </w:tc>
        <w:tc>
          <w:tcPr>
            <w:tcBorders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Define incident command, first-aid coverage, casualty collection point, ambulance interface and multiple-casualty triage procedure.</w:t>
            </w:r>
          </w:p>
        </w:tc>
      </w:tr>
      <w:tr>
        <w:trPr>
          <w:cantSplit/>
          <w:trHeight w:val="576" w:hRule="atLeast"/>
        </w:trPr>
        <w:tc>
          <w:tcPr>
            <w:tcBorders>
              <w:left w:val="none"/>
              <w:bottom w:val="single" w:color="E1E4E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rPr>
                <w:rStyle w:val="MdStrong"/>
                <w:b/>
                <w:bCs/>
              </w:rPr>
              <w:t xml:space="preserve">Drill validation</w:t>
            </w:r>
          </w:p>
        </w:tc>
        <w:tc>
          <w:tcPr>
            <w:tcBorders>
              <w:bottom w:val="single" w:color="E1E4E8" w:sz="4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pStyle w:val="MdTableCell"/>
            </w:pPr>
            <w:r>
              <w:t xml:space="preserve">Conduct scenario drills in the real workface, including route blockage, power loss, crane incident, water/flooding and multiple casualties. Log and close corrective actions.</w:t>
            </w:r>
          </w:p>
        </w:tc>
      </w:tr>
    </w:tbl>
    <w:p>
      <w:pPr>
        <w:pStyle w:val="Heading2"/>
        <w:pStyle w:val="MdHeading2"/>
      </w:pPr>
      <w:r>
        <w:t xml:space="preserve">References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"/>
      <w:lvlJc w:val="left"/>
      <w:pPr>
        <w:ind w:left="720" w:hanging="360"/>
      </w:pPr>
    </w:lvl>
    <w:lvl w:ilvl="1" w15:tentative="1">
      <w:start w:val="1"/>
      <w:numFmt w:val="decimal"/>
      <w:lvlText w:val="%1.%2"/>
      <w:lvlJc w:val="left"/>
      <w:pPr>
        <w:ind w:left="1440" w:hanging="360"/>
      </w:pPr>
    </w:lvl>
    <w:lvl w:ilvl="2" w15:tentative="1">
      <w:start w:val="1"/>
      <w:numFmt w:val="decimal"/>
      <w:lvlText w:val="%1.%2.%3"/>
      <w:lvlJc w:val="left"/>
      <w:pPr>
        <w:ind w:left="2160" w:hanging="360"/>
      </w:pPr>
    </w:lvl>
    <w:lvl w:ilvl="3" w15:tentative="1">
      <w:start w:val="1"/>
      <w:numFmt w:val="decimal"/>
      <w:lvlText w:val="%4)"/>
      <w:lvlJc w:val="left"/>
      <w:pPr>
        <w:ind w:left="2880" w:hanging="360"/>
      </w:pPr>
    </w:lvl>
    <w:lvl w:ilvl="4" w15:tentative="1">
      <w:start w:val="1"/>
      <w:numFmt w:val="decimal"/>
      <w:lvlText w:val="%5)"/>
      <w:lvlJc w:val="left"/>
      <w:pPr>
        <w:ind w:left="3600" w:hanging="360"/>
      </w:pPr>
    </w:lvl>
    <w:lvl w:ilvl="5" w15:tentative="1">
      <w:start w:val="1"/>
      <w:numFmt w:val="decimal"/>
      <w:lvlText w:val="%6)"/>
      <w:lvlJc w:val="left"/>
      <w:pPr>
        <w:ind w:left="4320" w:hanging="360"/>
      </w:pPr>
    </w:lvl>
    <w:lvl w:ilvl="6" w15:tentative="1">
      <w:start w:val="1"/>
      <w:numFmt w:val="decimal"/>
      <w:lvlText w:val="%7)"/>
      <w:lvlJc w:val="left"/>
      <w:pPr>
        <w:ind w:left="5040" w:hanging="360"/>
      </w:pPr>
    </w:lvl>
    <w:lvl w:ilvl="7" w15:tentative="1">
      <w:start w:val="1"/>
      <w:numFmt w:val="decimal"/>
      <w:lvlText w:val="%8)"/>
      <w:lvlJc w:val="left"/>
      <w:pPr>
        <w:ind w:left="5760" w:hanging="360"/>
      </w:pPr>
    </w:lvl>
    <w:lvl w:ilvl="8" w15:tentative="1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  <w:lvl w:ilvl="2" w15:tentative="1">
      <w:start w:val="1"/>
      <w:numFmt w:val="bullet"/>
      <w:lvlText w:val="•"/>
      <w:lvlJc w:val="left"/>
      <w:pPr>
        <w:ind w:left="2160" w:hanging="360"/>
      </w:pPr>
    </w:lvl>
    <w:lvl w:ilvl="3" w15:tentative="1">
      <w:start w:val="1"/>
      <w:numFmt w:val="bullet"/>
      <w:lvlText w:val="◦"/>
      <w:lvlJc w:val="left"/>
      <w:pPr>
        <w:ind w:left="2880" w:hanging="360"/>
      </w:pPr>
    </w:lvl>
    <w:lvl w:ilvl="4" w15:tentative="1">
      <w:start w:val="1"/>
      <w:numFmt w:val="bullet"/>
      <w:lvlText w:val="•"/>
      <w:lvlJc w:val="left"/>
      <w:pPr>
        <w:ind w:left="3600" w:hanging="360"/>
      </w:pPr>
    </w:lvl>
    <w:lvl w:ilvl="5" w15:tentative="1">
      <w:start w:val="1"/>
      <w:numFmt w:val="bullet"/>
      <w:lvlText w:val="◦"/>
      <w:lvlJc w:val="left"/>
      <w:pPr>
        <w:ind w:left="4320" w:hanging="360"/>
      </w:pPr>
    </w:lvl>
    <w:lvl w:ilvl="6" w15:tentative="1">
      <w:start w:val="1"/>
      <w:numFmt w:val="bullet"/>
      <w:lvlText w:val="•"/>
      <w:lvlJc w:val="left"/>
      <w:pPr>
        <w:ind w:left="504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spacing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MdSpace">
    <w:name w:val="MdSpace"/>
    <w:basedOn w:val="Normal"/>
    <w:next w:val="Normal"/>
    <w:qFormat/>
    <w:pPr>
      <w:spacing w:before="0" w:after="0"/>
    </w:pPr>
    <w:rPr>
      <w:sz w:val="12"/>
      <w:szCs w:val="12"/>
    </w:rPr>
  </w:style>
  <w:style w:type="paragraph" w:styleId="MdCode">
    <w:name w:val="MdCode"/>
    <w:basedOn w:val="Normal"/>
    <w:next w:val="Normal"/>
    <w:qFormat/>
    <w:pPr>
      <w:pBdr>
        <w:top w:val="single" w:color="A5A5A5" w:sz="1" w:space="8"/>
        <w:bottom w:val="single" w:color="A5A5A5" w:sz="1" w:space="8"/>
        <w:left w:val="single" w:color="A5A5A5" w:sz="1" w:space="8"/>
        <w:right w:val="single" w:color="A5A5A5" w:sz="1" w:space="8"/>
      </w:pBdr>
      <w:spacing w:before="200" w:after="200"/>
    </w:pPr>
    <w:rPr>
      <w:rFonts w:ascii="Courier New" w:cs="Courier New" w:eastAsia="Courier New" w:hAnsi="Courier New"/>
      <w:color w:val="70AD47"/>
      <w:sz w:val="22"/>
      <w:szCs w:val="22"/>
    </w:rPr>
  </w:style>
  <w:style w:type="paragraph" w:styleId="MdHr">
    <w:name w:val="MdHr"/>
    <w:basedOn w:val="Normal"/>
    <w:next w:val="Normal"/>
    <w:qFormat/>
    <w:pPr>
      <w:pBdr>
        <w:bottom w:val="single" w:color="A5A5A5" w:sz="1" w:space="1"/>
      </w:pBdr>
      <w:spacing w:before="240" w:after="240"/>
    </w:pPr>
  </w:style>
  <w:style w:type="paragraph" w:styleId="MdBlockquote">
    <w:name w:val="MdBlockquote"/>
    <w:basedOn w:val="Normal"/>
    <w:next w:val="Normal"/>
    <w:qFormat/>
    <w:pPr>
      <w:pBdr>
        <w:left w:val="single" w:color="A5A5A5" w:sz="20" w:space="12"/>
      </w:pBdr>
      <w:spacing w:before="200" w:after="200"/>
      <w:ind w:left="360"/>
    </w:pPr>
    <w:rPr>
      <w:i/>
      <w:iCs/>
      <w:color w:val="666666"/>
    </w:rPr>
  </w:style>
  <w:style w:type="paragraph" w:styleId="MdHtml">
    <w:name w:val="MdHtml"/>
    <w:basedOn w:val="Normal"/>
    <w:next w:val="Normal"/>
    <w:qFormat/>
    <w:rPr>
      <w:rFonts w:ascii="Courier New" w:cs="Courier New" w:eastAsia="Courier New" w:hAnsi="Courier New"/>
      <w:color w:val="ED7D31"/>
    </w:rPr>
  </w:style>
  <w:style w:type="paragraph" w:styleId="MdDef">
    <w:name w:val="MdDef"/>
    <w:basedOn w:val="Normal"/>
    <w:next w:val="Normal"/>
    <w:qFormat/>
    <w:pPr>
      <w:ind w:left="720" w:hanging="360"/>
    </w:pPr>
  </w:style>
  <w:style w:type="paragraph" w:styleId="MdParagraph">
    <w:name w:val="MdParagraph"/>
    <w:basedOn w:val="Normal"/>
    <w:next w:val="Normal"/>
    <w:qFormat/>
    <w:pPr>
      <w:spacing w:before="120" w:after="120"/>
    </w:pPr>
  </w:style>
  <w:style w:type="paragraph" w:styleId="MdText">
    <w:name w:val="MdText"/>
    <w:basedOn w:val="Normal"/>
    <w:next w:val="Normal"/>
    <w:qFormat/>
  </w:style>
  <w:style w:type="paragraph" w:styleId="MdFootnote">
    <w:name w:val="MdFootnote"/>
    <w:basedOn w:val="Normal"/>
    <w:next w:val="Normal"/>
    <w:qFormat/>
    <w:rPr>
      <w:vertAlign w:val="superscript"/>
    </w:rPr>
  </w:style>
  <w:style w:type="paragraph" w:styleId="MdListItem">
    <w:name w:val="MdListItem"/>
    <w:basedOn w:val="Normal"/>
    <w:next w:val="Normal"/>
    <w:qFormat/>
    <w:pPr>
      <w:spacing w:before="60" w:after="60"/>
      <w:ind w:left="720" w:hanging="360"/>
    </w:pPr>
  </w:style>
  <w:style w:type="paragraph" w:styleId="MdTable">
    <w:name w:val="MdTable"/>
    <w:basedOn w:val="Normal"/>
    <w:next w:val="Normal"/>
    <w:qFormat/>
    <w:pPr>
      <w:spacing w:before="60" w:after="60"/>
    </w:pPr>
  </w:style>
  <w:style w:type="paragraph" w:styleId="MdTableHeader">
    <w:name w:val="MdTableHeader"/>
    <w:basedOn w:val="Normal"/>
    <w:next w:val="Normal"/>
    <w:qFormat/>
    <w:pPr>
      <w:spacing w:before="60" w:after="60"/>
    </w:pPr>
    <w:rPr>
      <w:b/>
      <w:bCs/>
      <w:sz w:val="22"/>
      <w:szCs w:val="22"/>
    </w:rPr>
  </w:style>
  <w:style w:type="paragraph" w:styleId="MdTableCell">
    <w:name w:val="MdTableCell"/>
    <w:basedOn w:val="Normal"/>
    <w:next w:val="Normal"/>
    <w:qFormat/>
    <w:pPr>
      <w:spacing w:before="40" w:after="40"/>
    </w:pPr>
    <w:rPr>
      <w:sz w:val="20"/>
      <w:szCs w:val="20"/>
    </w:rPr>
  </w:style>
  <w:style w:type="paragraph" w:styleId="MdHeading1">
    <w:name w:val="MdHeading1"/>
    <w:basedOn w:val="Normal"/>
    <w:next w:val="Normal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styleId="MdHeading2">
    <w:name w:val="MdHeading2"/>
    <w:basedOn w:val="Normal"/>
    <w:next w:val="Normal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styleId="MdHeading3">
    <w:name w:val="MdHeading3"/>
    <w:basedOn w:val="Normal"/>
    <w:next w:val="Normal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styleId="MdHeading4">
    <w:name w:val="MdHeading4"/>
    <w:basedOn w:val="Normal"/>
    <w:next w:val="Normal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styleId="MdHeading5">
    <w:name w:val="MdHeading5"/>
    <w:basedOn w:val="Normal"/>
    <w:next w:val="Normal"/>
    <w:qFormat/>
    <w:pPr>
      <w:keepNext/>
      <w:spacing w:before="240" w:after="120"/>
      <w:outlineLvl w:val="4"/>
    </w:pPr>
    <w:rPr>
      <w:b/>
      <w:bCs/>
      <w:i/>
      <w:iCs/>
      <w:sz w:val="24"/>
      <w:szCs w:val="24"/>
    </w:rPr>
  </w:style>
  <w:style w:type="paragraph" w:styleId="MdHeading6">
    <w:name w:val="MdHeading6"/>
    <w:basedOn w:val="Normal"/>
    <w:next w:val="Normal"/>
    <w:qFormat/>
    <w:pPr>
      <w:keepNext/>
      <w:spacing w:before="240" w:after="120"/>
      <w:outlineLvl w:val="5"/>
    </w:pPr>
    <w:rPr>
      <w:b w:val="false"/>
      <w:bCs w:val="false"/>
      <w:i/>
      <w:iCs/>
      <w:sz w:val="24"/>
      <w:szCs w:val="24"/>
    </w:rPr>
  </w:style>
  <w:style w:type="character" w:styleId="MdTag">
    <w:name w:val="MdTag"/>
    <w:basedOn w:val="Normal"/>
    <w:next w:val="Normal"/>
    <w:uiPriority w:val="99"/>
    <w:unhideWhenUsed/>
    <w:qFormat/>
    <w:rPr>
      <w:rFonts w:ascii="Courier New" w:cs="Courier New" w:eastAsia="Courier New" w:hAnsi="Courier New"/>
      <w:color w:val="ED7D31"/>
    </w:rPr>
  </w:style>
  <w:style w:type="character" w:styleId="MdLink">
    <w:name w:val="MdLink"/>
    <w:basedOn w:val="Normal"/>
    <w:next w:val="Normal"/>
    <w:uiPriority w:val="99"/>
    <w:unhideWhenUsed/>
    <w:qFormat/>
    <w:rPr>
      <w:color w:val="0563C1"/>
      <w:u w:val="single"/>
    </w:rPr>
  </w:style>
  <w:style w:type="character" w:styleId="MdStrong">
    <w:name w:val="MdStrong"/>
    <w:basedOn w:val="Normal"/>
    <w:next w:val="Normal"/>
    <w:uiPriority w:val="99"/>
    <w:unhideWhenUsed/>
    <w:qFormat/>
    <w:rPr>
      <w:b/>
      <w:bCs/>
    </w:rPr>
  </w:style>
  <w:style w:type="character" w:styleId="MdEm">
    <w:name w:val="MdEm"/>
    <w:basedOn w:val="Normal"/>
    <w:next w:val="Normal"/>
    <w:uiPriority w:val="99"/>
    <w:unhideWhenUsed/>
    <w:qFormat/>
    <w:rPr>
      <w:i/>
      <w:iCs/>
    </w:rPr>
  </w:style>
  <w:style w:type="character" w:styleId="MdCodespan">
    <w:name w:val="MdCodespan"/>
    <w:basedOn w:val="Normal"/>
    <w:next w:val="Normal"/>
    <w:uiPriority w:val="99"/>
    <w:unhideWhenUsed/>
    <w:qFormat/>
    <w:rPr>
      <w:rFonts w:ascii="Courier New" w:cs="Courier New" w:eastAsia="Courier New" w:hAnsi="Courier New"/>
      <w:color w:val="70AD47"/>
    </w:rPr>
  </w:style>
  <w:style w:type="character" w:styleId="MdDel">
    <w:name w:val="MdDel"/>
    <w:basedOn w:val="Normal"/>
    <w:next w:val="Normal"/>
    <w:uiPriority w:val="99"/>
    <w:unhideWhenUsed/>
    <w:qFormat/>
    <w:rPr>
      <w:strike/>
    </w:rPr>
  </w:style>
  <w:style w:type="character" w:styleId="MdBr">
    <w:name w:val="MdBr"/>
    <w:basedOn w:val="Normal"/>
    <w:next w:val="Normal"/>
    <w:uiPriority w:val="99"/>
    <w:unhideWhenUsed/>
    <w:qFormat/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Un-named</cp:lastModifiedBy>
  <cp:revision>1</cp:revision>
  <dcterms:created xsi:type="dcterms:W3CDTF">2026-08-09T06:46:41.520Z</dcterms:created>
  <dcterms:modified xsi:type="dcterms:W3CDTF">2026-08-09T06:46:41.520Z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