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In-Situ Concrete Strength Verification and Crane-Above-Formwork SIMOPS Controls</w:t>
      </w:r>
    </w:p>
    <w:p>
      <w:pPr>
        <w:pStyle w:val="Heading2"/>
        <w:pStyle w:val="MdHeading2"/>
      </w:pPr>
      <w:r>
        <w:t xml:space="preserve">Executive position</w:t>
      </w:r>
    </w:p>
    <w:p>
      <w:pPr>
        <w:pStyle w:val="MdParagraph"/>
      </w:pPr>
      <w:r>
        <w:rPr>
          <w:rStyle w:val="MdStrong"/>
          <w:b/>
          <w:bCs/>
        </w:rPr>
        <w:t xml:space="preserve">Do not approve shoring or strut removal solely from a rebound-hammer or ultrasonic-pulse-velocity reading.</w:t>
      </w:r>
      <w:r>
        <w:t xml:space="preserve"> The required stage strength and the full permanent load path must be defined by the structural engineer and temporary-works designer. The release decision must then be supported by accepted concrete evidence, current monitoring and groundwater status, the approved removal sequence, and a formal written staged release.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The official Abu Dhabi falsework code requires the concrete to have reached its </w:t>
      </w:r>
      <w:r>
        <w:rPr>
          <w:rStyle w:val="MdStrong"/>
          <w:b/>
          <w:bCs/>
        </w:rPr>
        <w:t xml:space="preserve">required design strength</w:t>
      </w:r>
      <w:r>
        <w:t xml:space="preserve">, with strength checked to engineering requirements—normally by testing-laboratory cube tests—before a permit to strike is issued. </w:t>
      </w:r>
      <w:hyperlink w:history="1" r:id="rIdr2j2-m6p7pcobqepik7e1">
        <w:r>
          <w:rPr>
            <w:rStyle w:val="MdLink"/>
          </w:rPr>
          <w:t xml:space="preserve">1</w:t>
        </w:r>
      </w:hyperlink>
      <w:r>
        <w:t xml:space="preserve"> Dubai requires written consultant consent before anchor removal. </w:t>
      </w:r>
      <w:hyperlink w:history="1" r:id="rIdrpjfeg4kpck9qouxzigor">
        <w:r>
          <w:rPr>
            <w:rStyle w:val="MdLink"/>
          </w:rPr>
          <w:t xml:space="preserve">2</w:t>
        </w:r>
      </w:hyperlink>
      <w:r>
        <w:t xml:space="preserve"> The public sources reviewed do </w:t>
      </w:r>
      <w:r>
        <w:rPr>
          <w:rStyle w:val="MdStrong"/>
          <w:b/>
          <w:bCs/>
        </w:rPr>
        <w:t xml:space="preserve">not</w:t>
      </w:r>
      <w:r>
        <w:t xml:space="preserve"> prescribe one universal Dubai Municipality or Abu Dhabi DMT NDT method for every shoring-release stage. Therefore, the appointed structural engineer, temporary-works designer, consultant, issued building permit and any development-zone condition determine whether NDT, cores or both are required for the particular release.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1. Third-party laboratory accreditation: what to require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Requirement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Dubai / Abu Dhabi application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to obtain before testing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Release implication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ISO/IEC 17025:2017 accredited testing laboratory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Dubai Central Laboratory is accredited by EIAC to ISO/IEC 17025 for testing/calibration, including Infrastructure and Building Materials Laboratories. </w:t>
            </w:r>
            <w:hyperlink w:history="1" r:id="rIdm2_2bjino7lu8j3sihmsn">
              <w:r>
                <w:rPr>
                  <w:rStyle w:val="MdLink"/>
                </w:rPr>
                <w:t xml:space="preserve">3</w:t>
              </w:r>
            </w:hyperlink>
            <w:r>
              <w:t xml:space="preserve"> ENAS is the UAE national accreditation system for ISO/IEC 17025 testing laboratories. </w:t>
            </w:r>
            <w:hyperlink w:history="1" r:id="rIdtoqvujx_5dogo1l01d7rm">
              <w:r>
                <w:rPr>
                  <w:rStyle w:val="MdLink"/>
                </w:rPr>
                <w:t xml:space="preserve">4</w:t>
              </w:r>
            </w:hyperlink>
            <w:r>
              <w:t xml:space="preserve"> Abu Dhabi’s Central Testing Laboratory provides services to ISO 17025:2017 and uses accredited private-sector laboratory partners for building-materials and construction testing. </w:t>
            </w:r>
            <w:hyperlink w:history="1" r:id="rId7u9avijgns5ianevbfsji">
              <w:r>
                <w:rPr>
                  <w:rStyle w:val="MdLink"/>
                </w:rPr>
                <w:t xml:space="preserve">5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Current accreditation certificate, expiry date, accreditation-body identification and the laboratory’s </w:t>
            </w:r>
            <w:r>
              <w:rPr>
                <w:rStyle w:val="MdStrong"/>
                <w:b/>
                <w:bCs/>
              </w:rPr>
              <w:t xml:space="preserve">current scope</w:t>
            </w:r>
            <w:r>
              <w:t xml:space="preserve">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Treat an unaccredited or out-of-scope report as insufficient unless the consultant/authority gives written project-specific acceptance.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Accredited scope covers the exact method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lab must be accredited for the relevant concrete method—not merely hold generic ISO/IEC 17025 accreditation.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Scope schedule identifying the method, material/matrix and test range, such as core strength, rebound number, UPV or maturity.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If the required method is outside the laboratory’s scope, obtain an authority/consultant-approved alternate laboratory or specific acceptance before relying on the result.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Competent testing personnel and calibrated equipment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ISO/IEC 17025 competence requires personnel, equipment control, traceability, internal quality control and valid reporting. </w:t>
            </w:r>
            <w:hyperlink w:history="1" r:id="rIdz9pgfskmy0ydl-xwffrkf">
              <w:r>
                <w:rPr>
                  <w:rStyle w:val="MdLink"/>
                </w:rPr>
                <w:t xml:space="preserve">4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Technician competence/authorisation record, equipment identification, in-date calibration/verification certificates, pre-use checks and any NDT reference anvil/check results.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test result must be traceable to a competent operator and controlled equipment.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Municipality / permit / consultant acceptance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 municipal or development-zone permit can impose more stringent requirements than the general accreditation framework. DMT/DM public material does not create a single identical construction-stage submission route for all projects.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Issued permit conditions, consultant-approved ITP, approved test plan, third-party appointment (if required), and written acceptance route.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project team must not assume that EIAC/ENAS accreditation alone satisfies a named authority or consultant condition.</w:t>
            </w:r>
          </w:p>
        </w:tc>
      </w:tr>
    </w:tbl>
    <w:p>
      <w:pPr>
        <w:pStyle w:val="MdBlockquote"/>
      </w:pPr>
      <w:r>
        <w:rPr>
          <w:rStyle w:val="MdStrong"/>
          <w:b/>
          <w:bCs/>
        </w:rPr>
        <w:t xml:space="preserve">Practical procurement clause:</w:t>
      </w:r>
      <w:r>
        <w:t xml:space="preserve"> “Appoint a third-party laboratory accredited to ISO/IEC 17025:2017 by ENAS, EIAC or another accreditation body accepted in writing by the relevant authority/consultant, with a current accredited scope expressly covering each proposed test method. Submit the certificate and scope before mobilisation.”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2. Test-method hierarchy for a shoring-release decision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tier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Applicable method / standard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Appropriate use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Limitation / release condition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Primary production evidence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Traceable cured cubes in accordance with the project specification and laboratory method; Abu Dhabi CoP 40.0 identifies laboratory cube testing as the normal route. </w:t>
            </w:r>
            <w:hyperlink w:history="1" r:id="rId9wryj9vumgk1h1pcspdec">
              <w:r>
                <w:rPr>
                  <w:rStyle w:val="MdLink"/>
                </w:rPr>
                <w:t xml:space="preserve">1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Verifies the actual mix/pour against the designer’s specified stage-strength criterion.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sample must be traceable to the actual pour and test age. A cube result does not, by itself, confirm the full wall/slab load path, water condition or support-system readiness.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Early-age strength support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Concrete maturity method, </w:t>
            </w:r>
            <w:r>
              <w:rPr>
                <w:rStyle w:val="MdStrong"/>
                <w:b/>
                <w:bCs/>
              </w:rPr>
              <w:t xml:space="preserve">ASTM C1074</w:t>
            </w:r>
            <w:r>
              <w:t xml:space="preserve">, only where an approved strength–maturity relationship for the project mixture is established.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Can support earlier decision-making where the project-specific calibration and field temperature history are valid.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It does not replace the approved acceptance method unless the structural engineer/consultant explicitly authorises it for the stage.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Indirect NDT – rebound hammer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ASTM C805/C805M</w:t>
            </w:r>
            <w:r>
              <w:t xml:space="preserve"> or </w:t>
            </w:r>
            <w:r>
              <w:rPr>
                <w:rStyle w:val="MdStrong"/>
                <w:b/>
                <w:bCs/>
              </w:rPr>
              <w:t xml:space="preserve">EN 12504-2</w:t>
            </w:r>
            <w:r>
              <w:t xml:space="preserve">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Surface uniformity screening, comparative mapping and selection of locations for additional investigation.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Rebound number is not a stand-alone compressive-strength acceptance value; surface condition, carbonation, moisture, aggregate and orientation affect results. Use an engineer-approved correlation.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Indirect NDT – ultrasonic pulse velocity (UPV)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ASTM C597</w:t>
            </w:r>
            <w:r>
              <w:t xml:space="preserve"> or </w:t>
            </w:r>
            <w:r>
              <w:rPr>
                <w:rStyle w:val="MdStrong"/>
                <w:b/>
                <w:bCs/>
              </w:rPr>
              <w:t xml:space="preserve">EN 12504-4</w:t>
            </w:r>
            <w:r>
              <w:t xml:space="preserve">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Evaluates relative uniformity, potential discontinuities and changes in concrete quality; useful alongside rebound mapping.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UPV is not a direct compressive-strength test. Do not convert a velocity directly into release strength without a valid project-specific correlation and engineer acceptance.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Complementary indirect method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Penetration resistance, </w:t>
            </w:r>
            <w:r>
              <w:rPr>
                <w:rStyle w:val="MdStrong"/>
                <w:b/>
                <w:bCs/>
              </w:rPr>
              <w:t xml:space="preserve">ASTM C803/C803M</w:t>
            </w:r>
            <w:r>
              <w:t xml:space="preserve">, or pull-out testing, </w:t>
            </w:r>
            <w:r>
              <w:rPr>
                <w:rStyle w:val="MdStrong"/>
                <w:b/>
                <w:bCs/>
              </w:rPr>
              <w:t xml:space="preserve">ASTM C900</w:t>
            </w:r>
            <w:r>
              <w:t xml:space="preserve">, where selected by the engineer.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May provide additional early-age/in-place information in a project-specific test plan.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method, sampling density and acceptance interpretation must be selected by the structural engineer; repair of test locations must be included in the procedure.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Direct in-place strength evidence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Extracted cores, </w:t>
            </w:r>
            <w:r>
              <w:rPr>
                <w:rStyle w:val="MdStrong"/>
                <w:b/>
                <w:bCs/>
              </w:rPr>
              <w:t xml:space="preserve">ASTM C42/C42M</w:t>
            </w:r>
            <w:r>
              <w:t xml:space="preserve"> or </w:t>
            </w:r>
            <w:r>
              <w:rPr>
                <w:rStyle w:val="MdStrong"/>
                <w:b/>
                <w:bCs/>
              </w:rPr>
              <w:t xml:space="preserve">EN 12504-1</w:t>
            </w:r>
            <w:r>
              <w:t xml:space="preserve">; assessment to the project’s applicable structural-code/specification requirements.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Resolves doubt where cubes are unrepresentative, results are low/inconsistent, or NDT suggests variability.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Core location, size, reinforcement scanning, repair and structural implications must be approved before drilling. Core results require engineering interpretation; do not apply generic acceptance values without the project code/specification.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Interpretation framework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ACI 228.1R</w:t>
            </w:r>
            <w:r>
              <w:t xml:space="preserve"> is a recognised engineering reference for in-place concrete-strength estimation; it supports a combined, correlation-led approach.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Guides the engineer in combining NDT and direct evidence.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It is not, by itself, a municipality permit or a release authorisation. The project design and consultant approval remain controlling.</w:t>
            </w:r>
          </w:p>
        </w:tc>
      </w:tr>
    </w:tbl>
    <w:p>
      <w:pPr>
        <w:pStyle w:val="Heading2"/>
        <w:pStyle w:val="MdHeading2"/>
      </w:pPr>
      <w:r>
        <w:t xml:space="preserve">3. Minimum NDT / in-situ verification plan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Plan component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Required detail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Engineering question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State whether the purpose is early-age strength, uniformity mapping, investigation of a questionable cube result, confirmation of a completed load path, or a specific shoring-release criterion.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Approved acceptance criterion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structural engineer and temporary-works designer must state the stage-specific target and acceptance logic before testing. Do not choose the criterion after seeing results.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Test grid and locations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Mark locations on the structural drawing. Avoid edges, honeycombing, construction-joint anomalies, obvious repair areas and reinforcement where the selected method requires it. Use reinforcement scanning before coring.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Correlation and environmental controls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Record mix, age, curing, moisture, surface preparation, member geometry, test orientation and temperature. For indirect NDT, provide the project-specific correlation basis and its applicability.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Sampling density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Set the number and distribution of readings/cores in the approved test plan. Increase coverage where results are variable, the support-release consequence is high, or the wall/slab is structurally non-uniform.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Data traceability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Record technician, method, instrument serial number, calibration/verification status, date/time, raw readings, photo, grid reference and any deviation.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Engineer’s conclusion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final report must state the limitations and whether the combined evidence satisfies the named stage criterion. The laboratory reports data; the structural/temporary-works design authorities approve the load-transfer release.</w:t>
            </w:r>
          </w:p>
        </w:tc>
      </w:tr>
    </w:tbl>
    <w:p>
      <w:pPr>
        <w:pStyle w:val="Heading2"/>
        <w:pStyle w:val="MdHeading2"/>
      </w:pPr>
      <w:r>
        <w:t xml:space="preserve">4. Reports and sign-offs before release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Required document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Must contain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Sign-off / acceptance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Laboratory prequalification pack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ISO/IEC 17025 certificate, scope, competent personnel, method capability and equipment calibration/verification.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Consultant / project QA-QC; authority only if permit condition requires.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Approved test method statement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Purpose, member/stage, test standards, locations, correlation, core repair, HSE controls and data-quality controls.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Structural engineer; temporary-works designer where release is linked to support removal; consultant.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NDT field report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Method, standard, reading grid, raw readings, instrument ID, calibration/verification, photos, environmental/surface condition and limitation statement.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Laboratory authorised signatory; structural engineer review.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Core report, if required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Core ID/location, diameter/length, conditioning, test method, measured strength, test date and repair record.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Laboratory authorised signatory; structural engineer interpretation.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Combined strength assessment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Reconciles cubes, maturity (if used), NDT and cores; compares the evidence with the specified stage criterion; identifies uncertainty and conclusion.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Structural engineer; consultant.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Temporary-works staged release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Identifies exact strut/anchor/shoring member(s), removal order, retained supports, monitoring actions, water-control assumptions, exclusion zone and stop-work triggers.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Temporary-works designer/coordinator; consultant; written consent for Dubai anchor removal. </w:t>
            </w:r>
            <w:hyperlink w:history="1" r:id="rIdjd9tur9l6nstotp_5sxou">
              <w:r>
                <w:rPr>
                  <w:rStyle w:val="MdLink"/>
                </w:rPr>
                <w:t xml:space="preserve">2</w:t>
              </w:r>
            </w:hyperlink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PTW/SIMOPS revalidation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Current excavation permit, support-change permit/authorisation, lifting plan, exclusion plan, workforce briefing and emergency controls.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Authorised permit issuer and Principal Contractor.</w:t>
            </w:r>
          </w:p>
        </w:tc>
      </w:tr>
    </w:tbl>
    <w:p>
      <w:pPr>
        <w:pStyle w:val="Heading2"/>
        <w:pStyle w:val="MdHeading2"/>
      </w:pPr>
      <w:r>
        <w:t xml:space="preserve">5. Daily SIMOPS coordination checklist: heavy cranes above active internal formwork floors</w:t>
      </w:r>
    </w:p>
    <w:p>
      <w:pPr>
        <w:pStyle w:val="MdParagraph"/>
      </w:pPr>
      <w:r>
        <w:rPr>
          <w:rStyle w:val="MdStrong"/>
          <w:b/>
          <w:bCs/>
        </w:rPr>
        <w:t xml:space="preserve">Default rule:</w:t>
      </w:r>
      <w:r>
        <w:t xml:space="preserve"> Do </w:t>
      </w:r>
      <w:r>
        <w:rPr>
          <w:rStyle w:val="MdStrong"/>
          <w:b/>
          <w:bCs/>
        </w:rPr>
        <w:t xml:space="preserve">not</w:t>
      </w:r>
      <w:r>
        <w:t xml:space="preserve"> allow formwork, reinforcement, concreting or other work beneath a suspended load, within the crane’s lift/fall zone, or inside a floor area affected by unverified crane/landing/platform loads. If a lift must traverse the floor, clear and barricade the affected zone, freeze the conflicting work and release the area only after the lifting supervisor gives an all-clear.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A. Shift-start governance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Check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Yes / No / N.A.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/ action if No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Owner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A1. One named SIMOPS coordinator has been appointed for the shift with authority to stop each conflicting activity.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Principal Contractor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A2. Daily activity map identifies crane position, radius, lift corridor, landing zone, plant routes, formwork/rebar workfaces, duty/standby pumps and evacuation routes.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SIMOPS Coordinator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A3. All active permits, lift plans, formwork permits, PTWs and inspection releases are current for the named workface.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Permit Issuer / HSE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A4. Shift handover has identified retained/removed supports, incomplete lifts, current monitoring/water status and outstanding hold points.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Shift Supervisors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A5. A single radio channel and standard communications protocol have been tested between lifting, formwork, earthworks, dewatering and emergency leads.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Lifting Supervisor</w:t>
            </w:r>
          </w:p>
        </w:tc>
      </w:tr>
    </w:tbl>
    <w:p>
      <w:pPr>
        <w:pStyle w:val="Heading3"/>
        <w:pStyle w:val="MdHeading3"/>
      </w:pPr>
      <w:r>
        <w:t xml:space="preserve">B. Crane, ground and lift-plan controls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Check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Yes / No / N.A.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/ action if No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Owner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B1. Crane certification, operator/rigger/slinger competence and lifting-accessory inspection are valid.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Appointed Person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B2. The lift plan matches the actual load, radius, boom configuration, wind condition, travel route and landing location.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Appointed Person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B3. The crane, outrigger, track or support position has an accepted bearing and surcharge check against the temporary-works design.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Temporary-Works / Geotechnical Authority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B4. The planned lift path does not pass over occupied formwork, rebar, concrete-pour or access/egress areas.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Lifting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B5. The lift is classified as routine, non-routine or critical under the project procedure; the required additional authorisation is attached.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Appointed Person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B6. Wind, visibility, lighting and weather conditions comply with the lift plan/manufacturer limits and site procedure.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Crane Operator / Lifting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B7. Blind-lift controls, banksman location, signal method and communication test are confirmed.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Lifting Supervisor</w:t>
            </w:r>
          </w:p>
        </w:tc>
      </w:tr>
    </w:tbl>
    <w:p>
      <w:pPr>
        <w:pStyle w:val="Heading3"/>
        <w:pStyle w:val="MdHeading3"/>
      </w:pPr>
      <w:r>
        <w:t xml:space="preserve">C. Formwork, floor and structural-work controls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Check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Yes / No / N.A.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/ action if No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Owner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C1. The formwork/falsework is in the approved configuration and its permit to load / pre-pour release remains valid.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 Supervisor / Consultant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C2. The floor/work platform capacity has been checked for the planned landing, stored material, crane-induced load, dynamic effect and route.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Structural / Temporary-Works Designer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C3. No falsework, scaffold, deck or temporary platform will be struck, altered, overloaded or used as a lifting landing area without the approved design and release.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C4. Rebar and formwork crews understand the work freeze, exclusion boundary and all-clear handback method.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Structural Work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C5. A protected evacuation route remains open; neither lifting gear, delivered materials nor temporary services obstruct it.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SIMOPS Coordinator</w:t>
            </w:r>
          </w:p>
        </w:tc>
      </w:tr>
    </w:tbl>
    <w:p>
      <w:pPr>
        <w:pStyle w:val="Heading3"/>
        <w:pStyle w:val="MdHeading3"/>
      </w:pPr>
      <w:r>
        <w:t xml:space="preserve">D. Workface segregation and active lifting controls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Check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Yes / No / N.A.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/ action if No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Owner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D1. Physical barriers, signs and a sentry/spotter isolate the lift/fall zone from the active formwork floor.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Lifting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D2. The affected floor is cleared before the load enters the lift/fall zone; no person is beneath the suspended load.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 + Lifting Supervisors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D3. Earthmoving, telehandler, concrete pump or delivery activity is frozen where it can interfere with crane stability, lift route or evacuation.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SIMOPS Coordinator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D4. Tag lines, load-control method and landing-zone controls are in place; hands are clear of crush/pinch points.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Rigger / Slinger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D5. No lift begins until the lifting supervisor confirms “zone clear”; no structural work resumes until a documented “all clear” is given.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Lifting Supervisor</w:t>
            </w:r>
          </w:p>
        </w:tc>
      </w:tr>
    </w:tbl>
    <w:p>
      <w:pPr>
        <w:pStyle w:val="Heading3"/>
        <w:pStyle w:val="MdHeading3"/>
      </w:pPr>
      <w:r>
        <w:t xml:space="preserve">E. Water, monitoring and emergency readiness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Check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Yes / No / N.A.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/ action if No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Owner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E1. Duty and standby dewatering pumps are operational; no isolation/work on a pump jeopardises excavation stability.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Dewatering Supervisor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E2. Latest instrumentation and visual inspection status show no unresolved movement, groundwater or support-system trigger.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Monitoring / Temporary-Works Authority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E3. Emergency access, rescue equipment, first aid, alarm method and site emergency contacts are available and unobstructed.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HSE Lead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E4. A stop-work and revalidation protocol is understood for high wind, rain/flooding, pump fault, monitoring alert, support damage, crane fault or lost communications.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SIMOPS Coordinator</w:t>
            </w:r>
          </w:p>
        </w:tc>
      </w:tr>
    </w:tbl>
    <w:p>
      <w:pPr>
        <w:pStyle w:val="Heading2"/>
        <w:pStyle w:val="MdHeading2"/>
      </w:pPr>
      <w:r>
        <w:t xml:space="preserve">6. Crane/formwork permit-interface matrix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Work interface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Controlling document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Linked permit / release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Required acceptance before work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Stop / revalidate trigger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Crane lift above/adjacent to internal formwork floor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Approved lift plan under CoP 34.0. </w:t>
            </w:r>
            <w:hyperlink w:history="1" r:id="rIdv0xgn-f4dbs_yd8i5bazn">
              <w:r>
                <w:rPr>
                  <w:rStyle w:val="MdLink"/>
                </w:rPr>
                <w:t xml:space="preserve">6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Routine/critical-lift authorisation as defined by project procedure; daily SIMOPS release.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Load, radius, route, crane position, ground bearing, exclusion zone and floor clearance accepted.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 path, load, radius, crane position, wind, communications or occupancy changes.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Active formwork/falsework below crane influence area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Formwork/falsework design and CoP 40.0 permit-to-load/permit-to-strike process. </w:t>
            </w:r>
            <w:hyperlink w:history="1" r:id="rIdyuj7soql3i2qmkc-nvz3h">
              <w:r>
                <w:rPr>
                  <w:rStyle w:val="MdLink"/>
                </w:rPr>
                <w:t xml:space="preserve">1</w:t>
              </w:r>
            </w:hyperlink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Pre-pour/permit-to-load release; controlled workface handback.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Floor/falsework capacity, configuration, inspection status, protected egress and worker briefing accepted.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 alteration, overloading, incomplete inspection, damaged deck or lift-zone intrusion.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Excavation and temporary shoring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Excavation PTW and approved temporary-works/dewatering/monitoring plan.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Stage-release permit for any support change; monitoring review.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Shoring condition, surcharge/bearing, groundwater and monitoring trends acceptable.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Trigger breach, water event, plant relocation, support defect or unapproved load.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Crane setup / outriggers near excavation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Lift plan + temporary-works bearing/surcharge check.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Plant-position release / ground-bearing certificate as project procedure requires.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Designer-accepted set-back, mat/base-plate design, actual ground condition and exclusion area.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Ground deterioration, settlement, rain, position change or monitoring concern.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Electrical / dewatering system conflict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Electrical PTW and CoP 24.0 LOTO isolation certificate, linked to dewatering-resilience plan.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Isolation certificate / LOTO; standby pumping verification.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Alternative pumping/backup and water-level controls verified before isolation.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Loss of backup, water-level rise, electrical fault or maintenance delay.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Hot work / welding near formwork or waterproofing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Hot-work PTW and fire-prevention controls.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Hot-work permit; fire-watch release.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Combustibles controlled, ventilation/atmosphere acceptable and escape route open.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Change in atmosphere, fire-watch absence, water/flooding or fire-protection impairment.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Work at height / leading-edge work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Working-at-height plan and scaffold/formwork inspection status.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Work-at-height permit where required by project system; rescue plan.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Certified access, edge protection, anchor/rescue system and no lift conflict.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Incomplete guardrail, scaffold/formwork change, wind condition or lift-zone encroachment.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Concrete placement after lifting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Concrete-pour plan, CoP 38.0 and formwork permit-to-load. </w:t>
            </w:r>
            <w:hyperlink w:history="1" r:id="rIdfnsfxw1yhoos8wt5uzl3b">
              <w:r>
                <w:rPr>
                  <w:rStyle w:val="MdLink"/>
                </w:rPr>
                <w:t xml:space="preserve">7</w:t>
              </w:r>
            </w:hyperlink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Pre-pour ITP release; concrete-pump setup approval.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Formwork capacity, pump position, truck route, hose restraint, evacuation route and dewatering readiness accepted.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Pump or truck relocation, hose conflict, formwork distress, weather/water event or loss of egress.</w:t>
            </w:r>
          </w:p>
        </w:tc>
      </w:tr>
    </w:tbl>
    <w:p>
      <w:pPr>
        <w:pStyle w:val="Heading2"/>
        <w:pStyle w:val="MdHeading2"/>
      </w:pPr>
      <w:r>
        <w:t xml:space="preserve">7. Non-negotiable work rules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Rule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Project-manager instruction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No work beneath a suspended load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Clear and barricade the floor area before the lift; do not substitute administrative warnings for physical segregation.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No crane/plant position by convenience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Obtain the temporary-works/geotechnical acceptance for bearing, surcharge, set-back and route.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No NDT-only release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Use NDT as the approved test plan permits; require engineering interpretation and direct evidence where the result is uncertain or high consequence.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No support change by verbal agreement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Require the written staged release, linked PTW revalidation and consultant consent where required.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No SIMOPS without a single coordinator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Principal Contractor appoints one coordinator to control schedules, zones, interfaces, handover and stop-work authority.</w:t>
            </w:r>
          </w:p>
        </w:tc>
      </w:tr>
    </w:tbl>
    <w:p>
      <w:pPr>
        <w:pStyle w:val="Heading2"/>
        <w:pStyle w:val="MdHeading2"/>
      </w:pPr>
      <w:r>
        <w:t xml:space="preserve">References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r2j2-m6p7pcobqepik7e1" Type="http://schemas.openxmlformats.org/officeDocument/2006/relationships/hyperlink" Target="https://www.adphc.gov.ae/-/media/Project/ADPHC/ADPHC/PDF/OSHAD-SF/Codes-of-Practise/2026/COP-400--False-Work-Formwork-v41-English.pdf" TargetMode="External"/><Relationship Id="rIdrpjfeg4kpck9qouxzigor" Type="http://schemas.openxmlformats.org/officeDocument/2006/relationships/hyperlink" Target="https://dlp.dubai.gov.ae/Legislation%20Reference/2021/Administrative%20Resolution%20No.%20(37)%20of%202021%20Amending%20the%20Bylaw%20Concerning.html" TargetMode="External"/><Relationship Id="rIdm2_2bjino7lu8j3sihmsn" Type="http://schemas.openxmlformats.org/officeDocument/2006/relationships/hyperlink" Target="https://www.dm.gov.ae/municipality-business/accreditation-certificates/" TargetMode="External"/><Relationship Id="rIdtoqvujx_5dogo1l01d7rm" Type="http://schemas.openxmlformats.org/officeDocument/2006/relationships/hyperlink" Target="https://moiat.gov.ae/en/programs/404" TargetMode="External"/><Relationship Id="rId7u9avijgns5ianevbfsji" Type="http://schemas.openxmlformats.org/officeDocument/2006/relationships/hyperlink" Target="https://www.qcc.gov.ae/en/Our-Operational-Sectors/Central-Testing-Labs" TargetMode="External"/><Relationship Id="rIdz9pgfskmy0ydl-xwffrkf" Type="http://schemas.openxmlformats.org/officeDocument/2006/relationships/hyperlink" Target="https://moiat.gov.ae/en/programs/404" TargetMode="External"/><Relationship Id="rId9wryj9vumgk1h1pcspdec" Type="http://schemas.openxmlformats.org/officeDocument/2006/relationships/hyperlink" Target="https://www.adphc.gov.ae/-/media/Project/ADPHC/ADPHC/PDF/OSHAD-SF/Codes-of-Practise/2026/COP-400--False-Work-Formwork-v41-English.pdf" TargetMode="External"/><Relationship Id="rIdjd9tur9l6nstotp_5sxou" Type="http://schemas.openxmlformats.org/officeDocument/2006/relationships/hyperlink" Target="https://dlp.dubai.gov.ae/Legislation%20Reference/2021/Administrative%20Resolution%20No.%20(37)%20of%202021%20Amending%20the%20Bylaw%20Concerning.html" TargetMode="External"/><Relationship Id="rIdv0xgn-f4dbs_yd8i5bazn" Type="http://schemas.openxmlformats.org/officeDocument/2006/relationships/hyperlink" Target="https://www.adphc.gov.ae/-/media/Project/ADPHC/ADPHC/PDF/OSHAD-SF/Codes-of-Practise/2026/COP-340--Safe-Use-of-Lifting-Equipment-and-Lifting-Accessories-v41-English.pdf" TargetMode="External"/><Relationship Id="rIdyuj7soql3i2qmkc-nvz3h" Type="http://schemas.openxmlformats.org/officeDocument/2006/relationships/hyperlink" Target="https://www.adphc.gov.ae/-/media/Project/ADPHC/ADPHC/PDF/OSHAD-SF/Codes-of-Practise/2026/COP-400--False-Work-Formwork-v41-English.pdf" TargetMode="External"/><Relationship Id="rIdfnsfxw1yhoos8wt5uzl3b" Type="http://schemas.openxmlformats.org/officeDocument/2006/relationships/hyperlink" Target="https://www.adphc.gov.ae/Legislation/-/media/64D20E622271480B908A4863FA822C90.ashx" TargetMode="External"/><Relationship Id="rId1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2026-08-09T03:32:53.938Z</dcterms:created>
  <dcterms:modified xsi:type="dcterms:W3CDTF">2026-08-09T03:32:53.938Z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