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pStyle w:val="MdHeading1"/>
      </w:pPr>
      <w:r>
        <w:t xml:space="preserve">Closure, Re-Inspection and HACCP Package — Quality-Control Notes</w:t>
      </w:r>
    </w:p>
    <w:p>
      <w:pPr>
        <w:pStyle w:val="Heading2"/>
        <w:pStyle w:val="MdHeading2"/>
      </w:pPr>
      <w:r>
        <w:t xml:space="preserve">Guide Review</w:t>
      </w:r>
    </w:p>
    <w:p>
      <w:pPr>
        <w:pStyle w:val="MdParagraph"/>
      </w:pPr>
      <w:r>
        <w:t xml:space="preserve">The procedure guide was visually reviewed following generation. The initial layout split the final ADAFSA table row across a page break. The document was revised to begin the ADAFSA corrective-action section on a new page. The reviewed revision has a clean authority-specific procedure table followed by a complete HACCP architecture, daily-record matrix, traceability/retention table and reinspection-evidence index.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Content Acceptance</w:t>
      </w:r>
    </w:p>
    <w:p>
      <w:pPr>
        <w:pStyle w:val="MdParagraph"/>
      </w:pPr>
      <w:r>
        <w:t xml:space="preserve">The guide clearly distinguishes three categories of statements: confirmed national statutory/record-retention duties; authority-published Dubai/ADAFSA procedures and conditions; and pragmatic remote-camp daily controls requiring validation against the approved site HACCP plan and authority requirements. It does not claim that a generic daily log form, generic temperature limit, or immediate evidence upload alone authorises reopening.</w:t>
      </w:r>
    </w:p>
    <w:p>
      <w:pPr>
        <w:pStyle w:val="MdSpace"/>
        <w:spacing w:before="0" w:after="60"/>
      </w:pPr>
    </w:p>
    <w:p>
      <w:pPr>
        <w:pStyle w:val="Heading2"/>
        <w:pStyle w:val="MdHeading2"/>
      </w:pPr>
      <w:r>
        <w:t xml:space="preserve">Remaining User Validation</w:t>
      </w:r>
    </w:p>
    <w:p>
      <w:pPr>
        <w:pStyle w:val="MdParagraph"/>
      </w:pPr>
      <w:r>
        <w:t xml:space="preserve">Before deployment, the Food Safety In-Charge must insert the camp-specific name, location, activity, menu/process flow, approved HACCP limits/frequencies, authority case reference and actual closure notice instructions. The authority’s live portal and written lifting/reopening decision remain controlling.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"/>
      <w:lvlJc w:val="left"/>
      <w:pPr>
        <w:ind w:left="720" w:hanging="360"/>
      </w:pPr>
    </w:lvl>
    <w:lvl w:ilvl="1" w15:tentative="1">
      <w:start w:val="1"/>
      <w:numFmt w:val="decimal"/>
      <w:lvlText w:val="%1.%2"/>
      <w:lvlJc w:val="left"/>
      <w:pPr>
        <w:ind w:left="1440" w:hanging="360"/>
      </w:pPr>
    </w:lvl>
    <w:lvl w:ilvl="2" w15:tentative="1">
      <w:start w:val="1"/>
      <w:numFmt w:val="decimal"/>
      <w:lvlText w:val="%1.%2.%3"/>
      <w:lvlJc w:val="left"/>
      <w:pPr>
        <w:ind w:left="2160" w:hanging="360"/>
      </w:pPr>
    </w:lvl>
    <w:lvl w:ilvl="3" w15:tentative="1">
      <w:start w:val="1"/>
      <w:numFmt w:val="decimal"/>
      <w:lvlText w:val="%4)"/>
      <w:lvlJc w:val="left"/>
      <w:pPr>
        <w:ind w:left="2880" w:hanging="360"/>
      </w:pPr>
    </w:lvl>
    <w:lvl w:ilvl="4" w15:tentative="1">
      <w:start w:val="1"/>
      <w:numFmt w:val="decimal"/>
      <w:lvlText w:val="%5)"/>
      <w:lvlJc w:val="left"/>
      <w:pPr>
        <w:ind w:left="3600" w:hanging="360"/>
      </w:pPr>
    </w:lvl>
    <w:lvl w:ilvl="5" w15:tentative="1">
      <w:start w:val="1"/>
      <w:numFmt w:val="decimal"/>
      <w:lvlText w:val="%6)"/>
      <w:lvlJc w:val="left"/>
      <w:pPr>
        <w:ind w:left="4320" w:hanging="360"/>
      </w:pPr>
    </w:lvl>
    <w:lvl w:ilvl="6" w15:tentative="1">
      <w:start w:val="1"/>
      <w:numFmt w:val="decimal"/>
      <w:lvlText w:val="%7)"/>
      <w:lvlJc w:val="left"/>
      <w:pPr>
        <w:ind w:left="5040" w:hanging="360"/>
      </w:pPr>
    </w:lvl>
    <w:lvl w:ilvl="7" w15:tentative="1">
      <w:start w:val="1"/>
      <w:numFmt w:val="decimal"/>
      <w:lvlText w:val="%8)"/>
      <w:lvlJc w:val="left"/>
      <w:pPr>
        <w:ind w:left="5760" w:hanging="360"/>
      </w:pPr>
    </w:lvl>
    <w:lvl w:ilvl="8" w15:tentative="1">
      <w:start w:val="1"/>
      <w:numFmt w:val="decimal"/>
      <w:lvlText w:val="%9)"/>
      <w:lvlJc w:val="left"/>
      <w:pPr>
        <w:ind w:left="6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•"/>
      <w:lvlJc w:val="left"/>
      <w:pPr>
        <w:ind w:left="2160" w:hanging="360"/>
      </w:pPr>
    </w:lvl>
    <w:lvl w:ilvl="3" w15:tentative="1">
      <w:start w:val="1"/>
      <w:numFmt w:val="bullet"/>
      <w:lvlText w:val="◦"/>
      <w:lvlJc w:val="left"/>
      <w:pPr>
        <w:ind w:left="2880" w:hanging="360"/>
      </w:pPr>
    </w:lvl>
    <w:lvl w:ilvl="4" w15:tentative="1">
      <w:start w:val="1"/>
      <w:numFmt w:val="bullet"/>
      <w:lvlText w:val="•"/>
      <w:lvlJc w:val="left"/>
      <w:pPr>
        <w:ind w:left="3600" w:hanging="360"/>
      </w:pPr>
    </w:lvl>
    <w:lvl w:ilvl="5" w15:tentative="1">
      <w:start w:val="1"/>
      <w:numFmt w:val="bullet"/>
      <w:lvlText w:val="◦"/>
      <w:lvlJc w:val="left"/>
      <w:pPr>
        <w:ind w:left="4320" w:hanging="360"/>
      </w:pPr>
    </w:lvl>
    <w:lvl w:ilvl="6" w15:tentative="1">
      <w:start w:val="1"/>
      <w:numFmt w:val="bullet"/>
      <w:lvlText w:val="•"/>
      <w:lvlJc w:val="left"/>
      <w:pPr>
        <w:ind w:left="50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spacing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MdSpace">
    <w:name w:val="MdSpace"/>
    <w:basedOn w:val="Normal"/>
    <w:next w:val="Normal"/>
    <w:qFormat/>
    <w:pPr>
      <w:spacing w:before="0" w:after="0"/>
    </w:pPr>
    <w:rPr>
      <w:sz w:val="12"/>
      <w:szCs w:val="12"/>
    </w:rPr>
  </w:style>
  <w:style w:type="paragraph" w:styleId="MdCode">
    <w:name w:val="MdCode"/>
    <w:basedOn w:val="Normal"/>
    <w:next w:val="Normal"/>
    <w:qFormat/>
    <w:pPr>
      <w:pBdr>
        <w:top w:val="single" w:color="A5A5A5" w:sz="1" w:space="8"/>
        <w:bottom w:val="single" w:color="A5A5A5" w:sz="1" w:space="8"/>
        <w:left w:val="single" w:color="A5A5A5" w:sz="1" w:space="8"/>
        <w:right w:val="single" w:color="A5A5A5" w:sz="1" w:space="8"/>
      </w:pBdr>
      <w:spacing w:before="200" w:after="200"/>
    </w:pPr>
    <w:rPr>
      <w:rFonts w:ascii="Courier New" w:cs="Courier New" w:eastAsia="Courier New" w:hAnsi="Courier New"/>
      <w:color w:val="70AD47"/>
      <w:sz w:val="22"/>
      <w:szCs w:val="22"/>
    </w:rPr>
  </w:style>
  <w:style w:type="paragraph" w:styleId="MdHr">
    <w:name w:val="MdHr"/>
    <w:basedOn w:val="Normal"/>
    <w:next w:val="Normal"/>
    <w:qFormat/>
    <w:pPr>
      <w:pBdr>
        <w:bottom w:val="single" w:color="A5A5A5" w:sz="1" w:space="1"/>
      </w:pBdr>
      <w:spacing w:before="240" w:after="240"/>
    </w:pPr>
  </w:style>
  <w:style w:type="paragraph" w:styleId="MdBlockquote">
    <w:name w:val="MdBlockquote"/>
    <w:basedOn w:val="Normal"/>
    <w:next w:val="Normal"/>
    <w:qFormat/>
    <w:pPr>
      <w:pBdr>
        <w:left w:val="single" w:color="A5A5A5" w:sz="20" w:space="12"/>
      </w:pBdr>
      <w:spacing w:before="200" w:after="200"/>
      <w:ind w:left="360"/>
    </w:pPr>
    <w:rPr>
      <w:i/>
      <w:iCs/>
      <w:color w:val="666666"/>
    </w:rPr>
  </w:style>
  <w:style w:type="paragraph" w:styleId="MdHtml">
    <w:name w:val="MdHtml"/>
    <w:basedOn w:val="Normal"/>
    <w:next w:val="Normal"/>
    <w:qFormat/>
    <w:rPr>
      <w:rFonts w:ascii="Courier New" w:cs="Courier New" w:eastAsia="Courier New" w:hAnsi="Courier New"/>
      <w:color w:val="ED7D31"/>
    </w:rPr>
  </w:style>
  <w:style w:type="paragraph" w:styleId="MdDef">
    <w:name w:val="MdDef"/>
    <w:basedOn w:val="Normal"/>
    <w:next w:val="Normal"/>
    <w:qFormat/>
    <w:pPr>
      <w:ind w:left="720" w:hanging="360"/>
    </w:pPr>
  </w:style>
  <w:style w:type="paragraph" w:styleId="MdParagraph">
    <w:name w:val="MdParagraph"/>
    <w:basedOn w:val="Normal"/>
    <w:next w:val="Normal"/>
    <w:qFormat/>
    <w:pPr>
      <w:spacing w:before="120" w:after="120"/>
    </w:pPr>
  </w:style>
  <w:style w:type="paragraph" w:styleId="MdText">
    <w:name w:val="MdText"/>
    <w:basedOn w:val="Normal"/>
    <w:next w:val="Normal"/>
    <w:qFormat/>
  </w:style>
  <w:style w:type="paragraph" w:styleId="MdFootnote">
    <w:name w:val="MdFootnote"/>
    <w:basedOn w:val="Normal"/>
    <w:next w:val="Normal"/>
    <w:qFormat/>
    <w:rPr>
      <w:vertAlign w:val="superscript"/>
    </w:rPr>
  </w:style>
  <w:style w:type="paragraph" w:styleId="MdListItem">
    <w:name w:val="MdListItem"/>
    <w:basedOn w:val="Normal"/>
    <w:next w:val="Normal"/>
    <w:qFormat/>
    <w:pPr>
      <w:spacing w:before="60" w:after="60"/>
      <w:ind w:left="720" w:hanging="360"/>
    </w:pPr>
  </w:style>
  <w:style w:type="paragraph" w:styleId="MdTable">
    <w:name w:val="MdTable"/>
    <w:basedOn w:val="Normal"/>
    <w:next w:val="Normal"/>
    <w:qFormat/>
    <w:pPr>
      <w:spacing w:before="60" w:after="60"/>
    </w:pPr>
  </w:style>
  <w:style w:type="paragraph" w:styleId="MdTableHeader">
    <w:name w:val="MdTableHeader"/>
    <w:basedOn w:val="Normal"/>
    <w:next w:val="Normal"/>
    <w:qFormat/>
    <w:pPr>
      <w:spacing w:before="60" w:after="60"/>
    </w:pPr>
    <w:rPr>
      <w:b/>
      <w:bCs/>
      <w:sz w:val="22"/>
      <w:szCs w:val="22"/>
    </w:rPr>
  </w:style>
  <w:style w:type="paragraph" w:styleId="MdTableCell">
    <w:name w:val="MdTableCell"/>
    <w:basedOn w:val="Normal"/>
    <w:next w:val="Normal"/>
    <w:qFormat/>
    <w:pPr>
      <w:spacing w:before="40" w:after="40"/>
    </w:pPr>
    <w:rPr>
      <w:sz w:val="20"/>
      <w:szCs w:val="20"/>
    </w:rPr>
  </w:style>
  <w:style w:type="paragraph" w:styleId="MdHeading1">
    <w:name w:val="MdHeading1"/>
    <w:basedOn w:val="Normal"/>
    <w:next w:val="Normal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styleId="MdHeading2">
    <w:name w:val="MdHeading2"/>
    <w:basedOn w:val="Normal"/>
    <w:next w:val="Normal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styleId="MdHeading3">
    <w:name w:val="MdHeading3"/>
    <w:basedOn w:val="Normal"/>
    <w:next w:val="Normal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styleId="MdHeading4">
    <w:name w:val="MdHeading4"/>
    <w:basedOn w:val="Normal"/>
    <w:next w:val="Normal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styleId="MdHeading5">
    <w:name w:val="MdHeading5"/>
    <w:basedOn w:val="Normal"/>
    <w:next w:val="Normal"/>
    <w:qFormat/>
    <w:pPr>
      <w:keepNext/>
      <w:spacing w:before="240" w:after="120"/>
      <w:outlineLvl w:val="4"/>
    </w:pPr>
    <w:rPr>
      <w:b/>
      <w:bCs/>
      <w:i/>
      <w:iCs/>
      <w:sz w:val="24"/>
      <w:szCs w:val="24"/>
    </w:rPr>
  </w:style>
  <w:style w:type="paragraph" w:styleId="MdHeading6">
    <w:name w:val="MdHeading6"/>
    <w:basedOn w:val="Normal"/>
    <w:next w:val="Normal"/>
    <w:qFormat/>
    <w:pPr>
      <w:keepNext/>
      <w:spacing w:before="240" w:after="120"/>
      <w:outlineLvl w:val="5"/>
    </w:pPr>
    <w:rPr>
      <w:b w:val="false"/>
      <w:bCs w:val="false"/>
      <w:i/>
      <w:iCs/>
      <w:sz w:val="24"/>
      <w:szCs w:val="24"/>
    </w:rPr>
  </w:style>
  <w:style w:type="character" w:styleId="MdTag">
    <w:name w:val="MdTag"/>
    <w:basedOn w:val="Normal"/>
    <w:next w:val="Normal"/>
    <w:uiPriority w:val="99"/>
    <w:unhideWhenUsed/>
    <w:qFormat/>
    <w:rPr>
      <w:rFonts w:ascii="Courier New" w:cs="Courier New" w:eastAsia="Courier New" w:hAnsi="Courier New"/>
      <w:color w:val="ED7D31"/>
    </w:rPr>
  </w:style>
  <w:style w:type="character" w:styleId="MdLink">
    <w:name w:val="MdLink"/>
    <w:basedOn w:val="Normal"/>
    <w:next w:val="Normal"/>
    <w:uiPriority w:val="99"/>
    <w:unhideWhenUsed/>
    <w:qFormat/>
    <w:rPr>
      <w:color w:val="0563C1"/>
      <w:u w:val="single"/>
    </w:rPr>
  </w:style>
  <w:style w:type="character" w:styleId="MdStrong">
    <w:name w:val="MdStrong"/>
    <w:basedOn w:val="Normal"/>
    <w:next w:val="Normal"/>
    <w:uiPriority w:val="99"/>
    <w:unhideWhenUsed/>
    <w:qFormat/>
    <w:rPr>
      <w:b/>
      <w:bCs/>
    </w:rPr>
  </w:style>
  <w:style w:type="character" w:styleId="MdEm">
    <w:name w:val="MdEm"/>
    <w:basedOn w:val="Normal"/>
    <w:next w:val="Normal"/>
    <w:uiPriority w:val="99"/>
    <w:unhideWhenUsed/>
    <w:qFormat/>
    <w:rPr>
      <w:i/>
      <w:iCs/>
    </w:rPr>
  </w:style>
  <w:style w:type="character" w:styleId="MdCodespan">
    <w:name w:val="MdCodespan"/>
    <w:basedOn w:val="Normal"/>
    <w:next w:val="Normal"/>
    <w:uiPriority w:val="99"/>
    <w:unhideWhenUsed/>
    <w:qFormat/>
    <w:rPr>
      <w:rFonts w:ascii="Courier New" w:cs="Courier New" w:eastAsia="Courier New" w:hAnsi="Courier New"/>
      <w:color w:val="70AD47"/>
    </w:rPr>
  </w:style>
  <w:style w:type="character" w:styleId="MdDel">
    <w:name w:val="MdDel"/>
    <w:basedOn w:val="Normal"/>
    <w:next w:val="Normal"/>
    <w:uiPriority w:val="99"/>
    <w:unhideWhenUsed/>
    <w:qFormat/>
    <w:rPr>
      <w:strike/>
    </w:rPr>
  </w:style>
  <w:style w:type="character" w:styleId="MdBr">
    <w:name w:val="MdBr"/>
    <w:basedOn w:val="Normal"/>
    <w:next w:val="Normal"/>
    <w:uiPriority w:val="99"/>
    <w:unhideWhenUsed/>
    <w:qFormat/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Un-named</cp:lastModifiedBy>
  <cp:revision>1</cp:revision>
  <dcterms:created xsi:type="dcterms:W3CDTF">2026-08-19T09:22:53.715Z</dcterms:created>
  <dcterms:modified xsi:type="dcterms:W3CDTF">2026-08-19T09:22:53.715Z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