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" w:after="20"/>
        <w:jc w:val="center"/>
      </w:pPr>
      <w:r>
        <w:rPr>
          <w:rFonts w:ascii="Arial" w:hAnsi="Arial"/>
          <w:b/>
          <w:color w:val="17365D"/>
          <w:sz w:val="34"/>
        </w:rPr>
        <w:t>CAMP KITCHEN &amp; CATERING HSE RISK ASSESSMENT</w:t>
      </w:r>
    </w:p>
    <w:p>
      <w:pPr>
        <w:spacing w:after="100"/>
        <w:jc w:val="center"/>
      </w:pPr>
      <w:r>
        <w:rPr>
          <w:rFonts w:ascii="Arial" w:hAnsi="Arial"/>
          <w:i/>
          <w:color w:val="595959"/>
          <w:sz w:val="19"/>
        </w:rPr>
        <w:t>Color-coded 5×5 matrix — food production, service and meal delivery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DDEBF7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/>
                <w:color w:val="17365D"/>
                <w:sz w:val="15"/>
              </w:rPr>
              <w:t>Organisation</w:t>
            </w:r>
          </w:p>
        </w:tc>
        <w:tc>
          <w:tcPr>
            <w:tcW w:type="dxa" w:w="266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[Enter]</w:t>
            </w:r>
          </w:p>
        </w:tc>
        <w:tc>
          <w:tcPr>
            <w:tcW w:type="dxa" w:w="2664"/>
            <w:shd w:fill="DDEBF7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/>
                <w:color w:val="17365D"/>
                <w:sz w:val="15"/>
              </w:rPr>
              <w:t>Site / Camp</w:t>
            </w:r>
          </w:p>
        </w:tc>
        <w:tc>
          <w:tcPr>
            <w:tcW w:type="dxa" w:w="266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[Enter]</w:t>
            </w:r>
          </w:p>
        </w:tc>
      </w:tr>
      <w:tr>
        <w:tc>
          <w:tcPr>
            <w:tcW w:type="dxa" w:w="2664"/>
            <w:shd w:fill="DDEBF7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/>
                <w:color w:val="17365D"/>
                <w:sz w:val="15"/>
              </w:rPr>
              <w:t>Emirate</w:t>
            </w:r>
          </w:p>
        </w:tc>
        <w:tc>
          <w:tcPr>
            <w:tcW w:type="dxa" w:w="266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[Select]</w:t>
            </w:r>
          </w:p>
        </w:tc>
        <w:tc>
          <w:tcPr>
            <w:tcW w:type="dxa" w:w="2664"/>
            <w:shd w:fill="DDEBF7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/>
                <w:color w:val="17365D"/>
                <w:sz w:val="15"/>
              </w:rPr>
              <w:t>Activity</w:t>
            </w:r>
          </w:p>
        </w:tc>
        <w:tc>
          <w:tcPr>
            <w:tcW w:type="dxa" w:w="266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Kitchen, dining and catering transport</w:t>
            </w:r>
          </w:p>
        </w:tc>
      </w:tr>
      <w:tr>
        <w:tc>
          <w:tcPr>
            <w:tcW w:type="dxa" w:w="2664"/>
            <w:shd w:fill="DDEBF7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/>
                <w:color w:val="17365D"/>
                <w:sz w:val="15"/>
              </w:rPr>
              <w:t>Prepared by</w:t>
            </w:r>
          </w:p>
        </w:tc>
        <w:tc>
          <w:tcPr>
            <w:tcW w:type="dxa" w:w="266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[HSE / Food Safety]</w:t>
            </w:r>
          </w:p>
        </w:tc>
        <w:tc>
          <w:tcPr>
            <w:tcW w:type="dxa" w:w="2664"/>
            <w:shd w:fill="DDEBF7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/>
                <w:color w:val="17365D"/>
                <w:sz w:val="15"/>
              </w:rPr>
              <w:t>Review date</w:t>
            </w:r>
          </w:p>
        </w:tc>
        <w:tc>
          <w:tcPr>
            <w:tcW w:type="dxa" w:w="266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[Enter]</w:t>
            </w:r>
          </w:p>
        </w:tc>
      </w:tr>
      <w:tr>
        <w:tc>
          <w:tcPr>
            <w:tcW w:type="dxa" w:w="2664"/>
            <w:shd w:fill="DDEBF7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/>
                <w:color w:val="17365D"/>
                <w:sz w:val="15"/>
              </w:rPr>
              <w:t>Approved by</w:t>
            </w:r>
          </w:p>
        </w:tc>
        <w:tc>
          <w:tcPr>
            <w:tcW w:type="dxa" w:w="266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[Manager]</w:t>
            </w:r>
          </w:p>
        </w:tc>
        <w:tc>
          <w:tcPr>
            <w:tcW w:type="dxa" w:w="2664"/>
            <w:shd w:fill="DDEBF7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/>
                <w:color w:val="17365D"/>
                <w:sz w:val="15"/>
              </w:rPr>
              <w:t>Risk owner</w:t>
            </w:r>
          </w:p>
        </w:tc>
        <w:tc>
          <w:tcPr>
            <w:tcW w:type="dxa" w:w="266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Catering Manager</w:t>
            </w:r>
          </w:p>
        </w:tc>
      </w:tr>
    </w:tbl>
    <w:p>
      <w:pPr>
        <w:spacing w:after="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FCE4D6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b/>
                <w:color w:val="ED7D31"/>
                <w:sz w:val="16"/>
              </w:rPr>
              <w:t xml:space="preserve">Risk acceptance: </w:t>
            </w:r>
            <w:r>
              <w:rPr>
                <w:rFonts w:ascii="Arial" w:hAnsi="Arial"/>
                <w:sz w:val="16"/>
              </w:rPr>
              <w:t>Risk ratings must be validated for the actual kitchen, equipment, gas/electrical installation, menu, production volume, delivery route and shift pattern. Any Extreme residual risk is unacceptable; High residual risk requires documented management authorization and enhanced controls before work.</w:t>
            </w:r>
          </w:p>
        </w:tc>
      </w:tr>
    </w:tbl>
    <w:p>
      <w:pPr>
        <w:spacing w:after="0"/>
      </w:pPr>
    </w:p>
    <w:p>
      <w:pPr>
        <w:pStyle w:val="Heading1"/>
      </w:pPr>
      <w:r>
        <w:t>1. 5×5 Risk Matrix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76"/>
        <w:gridCol w:w="1776"/>
        <w:gridCol w:w="1776"/>
        <w:gridCol w:w="1776"/>
        <w:gridCol w:w="1776"/>
        <w:gridCol w:w="1776"/>
      </w:tblGrid>
      <w:tr>
        <w:tc>
          <w:tcPr>
            <w:tcW w:type="dxa" w:w="1800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</w:r>
          </w:p>
        </w:tc>
        <w:tc>
          <w:tcPr>
            <w:tcW w:type="dxa" w:w="1656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Severity 1</w:t>
            </w:r>
          </w:p>
        </w:tc>
        <w:tc>
          <w:tcPr>
            <w:tcW w:type="dxa" w:w="1656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Severity 2</w:t>
            </w:r>
          </w:p>
        </w:tc>
        <w:tc>
          <w:tcPr>
            <w:tcW w:type="dxa" w:w="1656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Severity 3</w:t>
            </w:r>
          </w:p>
        </w:tc>
        <w:tc>
          <w:tcPr>
            <w:tcW w:type="dxa" w:w="1656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Severity 4</w:t>
            </w:r>
          </w:p>
        </w:tc>
        <w:tc>
          <w:tcPr>
            <w:tcW w:type="dxa" w:w="1656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Severity 5</w:t>
            </w:r>
          </w:p>
        </w:tc>
      </w:tr>
      <w:tr>
        <w:tc>
          <w:tcPr>
            <w:tcW w:type="dxa" w:w="1800"/>
            <w:shd w:fill="007B8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Likelihood 5</w:t>
            </w:r>
          </w:p>
        </w:tc>
        <w:tc>
          <w:tcPr>
            <w:tcW w:type="dxa" w:w="1656"/>
            <w:shd w:fill="FFF2CC"/>
            <w:vAlign w:val="center"/>
            <w:tcMar>
              <w:top w:w="140" w:type="dxa"/>
              <w:start w:w="80" w:type="dxa"/>
              <w:bottom w:w="14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000000"/>
                <w:sz w:val="17"/>
              </w:rPr>
              <w:t>5</w:t>
            </w:r>
          </w:p>
        </w:tc>
        <w:tc>
          <w:tcPr>
            <w:tcW w:type="dxa" w:w="1656"/>
            <w:shd w:fill="F4B183"/>
            <w:vAlign w:val="center"/>
            <w:tcMar>
              <w:top w:w="140" w:type="dxa"/>
              <w:start w:w="80" w:type="dxa"/>
              <w:bottom w:w="14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000000"/>
                <w:sz w:val="17"/>
              </w:rPr>
              <w:t>10</w:t>
            </w:r>
          </w:p>
        </w:tc>
        <w:tc>
          <w:tcPr>
            <w:tcW w:type="dxa" w:w="1656"/>
            <w:shd w:fill="F4B183"/>
            <w:vAlign w:val="center"/>
            <w:tcMar>
              <w:top w:w="140" w:type="dxa"/>
              <w:start w:w="80" w:type="dxa"/>
              <w:bottom w:w="14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000000"/>
                <w:sz w:val="17"/>
              </w:rPr>
              <w:t>15</w:t>
            </w:r>
          </w:p>
        </w:tc>
        <w:tc>
          <w:tcPr>
            <w:tcW w:type="dxa" w:w="1656"/>
            <w:shd w:fill="F4CCCC"/>
            <w:vAlign w:val="center"/>
            <w:tcMar>
              <w:top w:w="140" w:type="dxa"/>
              <w:start w:w="80" w:type="dxa"/>
              <w:bottom w:w="14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000000"/>
                <w:sz w:val="17"/>
              </w:rPr>
              <w:t>20</w:t>
            </w:r>
          </w:p>
        </w:tc>
        <w:tc>
          <w:tcPr>
            <w:tcW w:type="dxa" w:w="1656"/>
            <w:shd w:fill="F4CCCC"/>
            <w:vAlign w:val="center"/>
            <w:tcMar>
              <w:top w:w="140" w:type="dxa"/>
              <w:start w:w="80" w:type="dxa"/>
              <w:bottom w:w="14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000000"/>
                <w:sz w:val="17"/>
              </w:rPr>
              <w:t>25</w:t>
            </w:r>
          </w:p>
        </w:tc>
      </w:tr>
      <w:tr>
        <w:tc>
          <w:tcPr>
            <w:tcW w:type="dxa" w:w="1800"/>
            <w:shd w:fill="007B8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Likelihood 4</w:t>
            </w:r>
          </w:p>
        </w:tc>
        <w:tc>
          <w:tcPr>
            <w:tcW w:type="dxa" w:w="1656"/>
            <w:shd w:fill="E2F0D9"/>
            <w:vAlign w:val="center"/>
            <w:tcMar>
              <w:top w:w="140" w:type="dxa"/>
              <w:start w:w="80" w:type="dxa"/>
              <w:bottom w:w="14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000000"/>
                <w:sz w:val="17"/>
              </w:rPr>
              <w:t>4</w:t>
            </w:r>
          </w:p>
        </w:tc>
        <w:tc>
          <w:tcPr>
            <w:tcW w:type="dxa" w:w="1656"/>
            <w:shd w:fill="FFF2CC"/>
            <w:vAlign w:val="center"/>
            <w:tcMar>
              <w:top w:w="140" w:type="dxa"/>
              <w:start w:w="80" w:type="dxa"/>
              <w:bottom w:w="14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000000"/>
                <w:sz w:val="17"/>
              </w:rPr>
              <w:t>8</w:t>
            </w:r>
          </w:p>
        </w:tc>
        <w:tc>
          <w:tcPr>
            <w:tcW w:type="dxa" w:w="1656"/>
            <w:shd w:fill="F4B183"/>
            <w:vAlign w:val="center"/>
            <w:tcMar>
              <w:top w:w="140" w:type="dxa"/>
              <w:start w:w="80" w:type="dxa"/>
              <w:bottom w:w="14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000000"/>
                <w:sz w:val="17"/>
              </w:rPr>
              <w:t>12</w:t>
            </w:r>
          </w:p>
        </w:tc>
        <w:tc>
          <w:tcPr>
            <w:tcW w:type="dxa" w:w="1656"/>
            <w:shd w:fill="F4B183"/>
            <w:vAlign w:val="center"/>
            <w:tcMar>
              <w:top w:w="140" w:type="dxa"/>
              <w:start w:w="80" w:type="dxa"/>
              <w:bottom w:w="14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000000"/>
                <w:sz w:val="17"/>
              </w:rPr>
              <w:t>16</w:t>
            </w:r>
          </w:p>
        </w:tc>
        <w:tc>
          <w:tcPr>
            <w:tcW w:type="dxa" w:w="1656"/>
            <w:shd w:fill="F4CCCC"/>
            <w:vAlign w:val="center"/>
            <w:tcMar>
              <w:top w:w="140" w:type="dxa"/>
              <w:start w:w="80" w:type="dxa"/>
              <w:bottom w:w="14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000000"/>
                <w:sz w:val="17"/>
              </w:rPr>
              <w:t>20</w:t>
            </w:r>
          </w:p>
        </w:tc>
      </w:tr>
      <w:tr>
        <w:tc>
          <w:tcPr>
            <w:tcW w:type="dxa" w:w="1800"/>
            <w:shd w:fill="007B8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Likelihood 3</w:t>
            </w:r>
          </w:p>
        </w:tc>
        <w:tc>
          <w:tcPr>
            <w:tcW w:type="dxa" w:w="1656"/>
            <w:shd w:fill="E2F0D9"/>
            <w:vAlign w:val="center"/>
            <w:tcMar>
              <w:top w:w="140" w:type="dxa"/>
              <w:start w:w="80" w:type="dxa"/>
              <w:bottom w:w="14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000000"/>
                <w:sz w:val="17"/>
              </w:rPr>
              <w:t>3</w:t>
            </w:r>
          </w:p>
        </w:tc>
        <w:tc>
          <w:tcPr>
            <w:tcW w:type="dxa" w:w="1656"/>
            <w:shd w:fill="FFF2CC"/>
            <w:vAlign w:val="center"/>
            <w:tcMar>
              <w:top w:w="140" w:type="dxa"/>
              <w:start w:w="80" w:type="dxa"/>
              <w:bottom w:w="14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000000"/>
                <w:sz w:val="17"/>
              </w:rPr>
              <w:t>6</w:t>
            </w:r>
          </w:p>
        </w:tc>
        <w:tc>
          <w:tcPr>
            <w:tcW w:type="dxa" w:w="1656"/>
            <w:shd w:fill="FFF2CC"/>
            <w:vAlign w:val="center"/>
            <w:tcMar>
              <w:top w:w="140" w:type="dxa"/>
              <w:start w:w="80" w:type="dxa"/>
              <w:bottom w:w="14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000000"/>
                <w:sz w:val="17"/>
              </w:rPr>
              <w:t>9</w:t>
            </w:r>
          </w:p>
        </w:tc>
        <w:tc>
          <w:tcPr>
            <w:tcW w:type="dxa" w:w="1656"/>
            <w:shd w:fill="F4B183"/>
            <w:vAlign w:val="center"/>
            <w:tcMar>
              <w:top w:w="140" w:type="dxa"/>
              <w:start w:w="80" w:type="dxa"/>
              <w:bottom w:w="14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000000"/>
                <w:sz w:val="17"/>
              </w:rPr>
              <w:t>12</w:t>
            </w:r>
          </w:p>
        </w:tc>
        <w:tc>
          <w:tcPr>
            <w:tcW w:type="dxa" w:w="1656"/>
            <w:shd w:fill="F4B183"/>
            <w:vAlign w:val="center"/>
            <w:tcMar>
              <w:top w:w="140" w:type="dxa"/>
              <w:start w:w="80" w:type="dxa"/>
              <w:bottom w:w="14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000000"/>
                <w:sz w:val="17"/>
              </w:rPr>
              <w:t>15</w:t>
            </w:r>
          </w:p>
        </w:tc>
      </w:tr>
      <w:tr>
        <w:tc>
          <w:tcPr>
            <w:tcW w:type="dxa" w:w="1800"/>
            <w:shd w:fill="007B8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Likelihood 2</w:t>
            </w:r>
          </w:p>
        </w:tc>
        <w:tc>
          <w:tcPr>
            <w:tcW w:type="dxa" w:w="1656"/>
            <w:shd w:fill="E2F0D9"/>
            <w:vAlign w:val="center"/>
            <w:tcMar>
              <w:top w:w="140" w:type="dxa"/>
              <w:start w:w="80" w:type="dxa"/>
              <w:bottom w:w="14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000000"/>
                <w:sz w:val="17"/>
              </w:rPr>
              <w:t>2</w:t>
            </w:r>
          </w:p>
        </w:tc>
        <w:tc>
          <w:tcPr>
            <w:tcW w:type="dxa" w:w="1656"/>
            <w:shd w:fill="E2F0D9"/>
            <w:vAlign w:val="center"/>
            <w:tcMar>
              <w:top w:w="140" w:type="dxa"/>
              <w:start w:w="80" w:type="dxa"/>
              <w:bottom w:w="14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000000"/>
                <w:sz w:val="17"/>
              </w:rPr>
              <w:t>4</w:t>
            </w:r>
          </w:p>
        </w:tc>
        <w:tc>
          <w:tcPr>
            <w:tcW w:type="dxa" w:w="1656"/>
            <w:shd w:fill="FFF2CC"/>
            <w:vAlign w:val="center"/>
            <w:tcMar>
              <w:top w:w="140" w:type="dxa"/>
              <w:start w:w="80" w:type="dxa"/>
              <w:bottom w:w="14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000000"/>
                <w:sz w:val="17"/>
              </w:rPr>
              <w:t>6</w:t>
            </w:r>
          </w:p>
        </w:tc>
        <w:tc>
          <w:tcPr>
            <w:tcW w:type="dxa" w:w="1656"/>
            <w:shd w:fill="FFF2CC"/>
            <w:vAlign w:val="center"/>
            <w:tcMar>
              <w:top w:w="140" w:type="dxa"/>
              <w:start w:w="80" w:type="dxa"/>
              <w:bottom w:w="14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000000"/>
                <w:sz w:val="17"/>
              </w:rPr>
              <w:t>8</w:t>
            </w:r>
          </w:p>
        </w:tc>
        <w:tc>
          <w:tcPr>
            <w:tcW w:type="dxa" w:w="1656"/>
            <w:shd w:fill="F4B183"/>
            <w:vAlign w:val="center"/>
            <w:tcMar>
              <w:top w:w="140" w:type="dxa"/>
              <w:start w:w="80" w:type="dxa"/>
              <w:bottom w:w="14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000000"/>
                <w:sz w:val="17"/>
              </w:rPr>
              <w:t>10</w:t>
            </w:r>
          </w:p>
        </w:tc>
      </w:tr>
      <w:tr>
        <w:tc>
          <w:tcPr>
            <w:tcW w:type="dxa" w:w="1800"/>
            <w:shd w:fill="007B8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Likelihood 1</w:t>
            </w:r>
          </w:p>
        </w:tc>
        <w:tc>
          <w:tcPr>
            <w:tcW w:type="dxa" w:w="1656"/>
            <w:shd w:fill="E2F0D9"/>
            <w:vAlign w:val="center"/>
            <w:tcMar>
              <w:top w:w="140" w:type="dxa"/>
              <w:start w:w="80" w:type="dxa"/>
              <w:bottom w:w="14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000000"/>
                <w:sz w:val="17"/>
              </w:rPr>
              <w:t>1</w:t>
            </w:r>
          </w:p>
        </w:tc>
        <w:tc>
          <w:tcPr>
            <w:tcW w:type="dxa" w:w="1656"/>
            <w:shd w:fill="E2F0D9"/>
            <w:vAlign w:val="center"/>
            <w:tcMar>
              <w:top w:w="140" w:type="dxa"/>
              <w:start w:w="80" w:type="dxa"/>
              <w:bottom w:w="14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000000"/>
                <w:sz w:val="17"/>
              </w:rPr>
              <w:t>2</w:t>
            </w:r>
          </w:p>
        </w:tc>
        <w:tc>
          <w:tcPr>
            <w:tcW w:type="dxa" w:w="1656"/>
            <w:shd w:fill="E2F0D9"/>
            <w:vAlign w:val="center"/>
            <w:tcMar>
              <w:top w:w="140" w:type="dxa"/>
              <w:start w:w="80" w:type="dxa"/>
              <w:bottom w:w="14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000000"/>
                <w:sz w:val="17"/>
              </w:rPr>
              <w:t>3</w:t>
            </w:r>
          </w:p>
        </w:tc>
        <w:tc>
          <w:tcPr>
            <w:tcW w:type="dxa" w:w="1656"/>
            <w:shd w:fill="E2F0D9"/>
            <w:vAlign w:val="center"/>
            <w:tcMar>
              <w:top w:w="140" w:type="dxa"/>
              <w:start w:w="80" w:type="dxa"/>
              <w:bottom w:w="14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000000"/>
                <w:sz w:val="17"/>
              </w:rPr>
              <w:t>4</w:t>
            </w:r>
          </w:p>
        </w:tc>
        <w:tc>
          <w:tcPr>
            <w:tcW w:type="dxa" w:w="1656"/>
            <w:shd w:fill="FFF2CC"/>
            <w:vAlign w:val="center"/>
            <w:tcMar>
              <w:top w:w="140" w:type="dxa"/>
              <w:start w:w="80" w:type="dxa"/>
              <w:bottom w:w="14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000000"/>
                <w:sz w:val="17"/>
              </w:rPr>
              <w:t>5</w:t>
            </w:r>
          </w:p>
        </w:tc>
      </w:tr>
    </w:tbl>
    <w:p>
      <w:pPr>
        <w:spacing w:after="80"/>
      </w:pPr>
      <w:r>
        <w:rPr>
          <w:rFonts w:ascii="Arial" w:hAnsi="Arial"/>
        </w:rPr>
        <w:t>Risk level: 1–4 Low; 5–9 Medium; 10–16 High; 17–25 Extreme. This matrix evaluates HSE risk, not the HACCP CCP classification. Food-safety hazards are additionally controlled through the HACCP plan.</w:t>
      </w:r>
    </w:p>
    <w:p>
      <w:pPr>
        <w:pStyle w:val="Heading1"/>
      </w:pPr>
      <w:r>
        <w:t>2. Risk Assessment and Controls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76"/>
        <w:gridCol w:w="1776"/>
        <w:gridCol w:w="1776"/>
        <w:gridCol w:w="1776"/>
        <w:gridCol w:w="1776"/>
        <w:gridCol w:w="1776"/>
      </w:tblGrid>
      <w:tr>
        <w:trPr>
          <w:tblHeader w:val="true"/>
        </w:trPr>
        <w:tc>
          <w:tcPr>
            <w:tcW w:type="dxa" w:w="504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2"/>
              </w:rPr>
              <w:t>No.</w:t>
            </w:r>
          </w:p>
        </w:tc>
        <w:tc>
          <w:tcPr>
            <w:tcW w:type="dxa" w:w="1699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2"/>
              </w:rPr>
              <w:t>Hazard</w:t>
            </w:r>
          </w:p>
        </w:tc>
        <w:tc>
          <w:tcPr>
            <w:tcW w:type="dxa" w:w="1800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2"/>
              </w:rPr>
              <w:t>Potential Consequence</w:t>
            </w:r>
          </w:p>
        </w:tc>
        <w:tc>
          <w:tcPr>
            <w:tcW w:type="dxa" w:w="1008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2"/>
              </w:rPr>
              <w:t>Initial Risk</w:t>
            </w:r>
          </w:p>
        </w:tc>
        <w:tc>
          <w:tcPr>
            <w:tcW w:type="dxa" w:w="4248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2"/>
              </w:rPr>
              <w:t>Mandatory Controls</w:t>
            </w:r>
          </w:p>
        </w:tc>
        <w:tc>
          <w:tcPr>
            <w:tcW w:type="dxa" w:w="1080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2"/>
              </w:rPr>
              <w:t>Residual Risk</w:t>
            </w:r>
          </w:p>
        </w:tc>
      </w:tr>
      <w:tr>
        <w:tc>
          <w:tcPr>
            <w:tcW w:type="dxa" w:w="50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1</w:t>
            </w:r>
          </w:p>
        </w:tc>
        <w:tc>
          <w:tcPr>
            <w:tcW w:type="dxa" w:w="1699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Gas leak / LPG failure</w:t>
            </w:r>
          </w:p>
        </w:tc>
        <w:tc>
          <w:tcPr>
            <w:tcW w:type="dxa" w:w="180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Fire, explosion, burns, fatality</w:t>
            </w:r>
          </w:p>
        </w:tc>
        <w:tc>
          <w:tcPr>
            <w:tcW w:type="dxa" w:w="100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4×5=20 Extreme</w:t>
            </w:r>
          </w:p>
        </w:tc>
        <w:tc>
          <w:tcPr>
            <w:tcW w:type="dxa" w:w="424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Approved installation; leak detection/checks; shut-off valves; ventilation; no ignition sources; emergency isolation; trained users; inspections.</w:t>
            </w:r>
          </w:p>
        </w:tc>
        <w:tc>
          <w:tcPr>
            <w:tcW w:type="dxa" w:w="108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1×5=5 Medium</w:t>
            </w:r>
          </w:p>
        </w:tc>
      </w:tr>
      <w:tr>
        <w:tc>
          <w:tcPr>
            <w:tcW w:type="dxa" w:w="504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2</w:t>
            </w:r>
          </w:p>
        </w:tc>
        <w:tc>
          <w:tcPr>
            <w:tcW w:type="dxa" w:w="1699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Cooking surfaces, steam and hot oil</w:t>
            </w:r>
          </w:p>
        </w:tc>
        <w:tc>
          <w:tcPr>
            <w:tcW w:type="dxa" w:w="180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Burns/scalds, fire</w:t>
            </w:r>
          </w:p>
        </w:tc>
        <w:tc>
          <w:tcPr>
            <w:tcW w:type="dxa" w:w="1008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4×4=16 High</w:t>
            </w:r>
          </w:p>
        </w:tc>
        <w:tc>
          <w:tcPr>
            <w:tcW w:type="dxa" w:w="4248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PPE; safe pan handling; dry floors; splash guards; controlled frying; fire blanket/extinguishers; training.</w:t>
            </w:r>
          </w:p>
        </w:tc>
        <w:tc>
          <w:tcPr>
            <w:tcW w:type="dxa" w:w="108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2×4=8 Medium</w:t>
            </w:r>
          </w:p>
        </w:tc>
      </w:tr>
      <w:tr>
        <w:tc>
          <w:tcPr>
            <w:tcW w:type="dxa" w:w="50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3</w:t>
            </w:r>
          </w:p>
        </w:tc>
        <w:tc>
          <w:tcPr>
            <w:tcW w:type="dxa" w:w="1699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Electrical equipment</w:t>
            </w:r>
          </w:p>
        </w:tc>
        <w:tc>
          <w:tcPr>
            <w:tcW w:type="dxa" w:w="180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Shock, fire, burns</w:t>
            </w:r>
          </w:p>
        </w:tc>
        <w:tc>
          <w:tcPr>
            <w:tcW w:type="dxa" w:w="100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3×5=15 High</w:t>
            </w:r>
          </w:p>
        </w:tc>
        <w:tc>
          <w:tcPr>
            <w:tcW w:type="dxa" w:w="424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Inspection/testing, RCD protection where required, dry hands, isolate defects, lockout for maintenance, no overloaded sockets.</w:t>
            </w:r>
          </w:p>
        </w:tc>
        <w:tc>
          <w:tcPr>
            <w:tcW w:type="dxa" w:w="108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1×5=5 Medium</w:t>
            </w:r>
          </w:p>
        </w:tc>
      </w:tr>
      <w:tr>
        <w:tc>
          <w:tcPr>
            <w:tcW w:type="dxa" w:w="504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4</w:t>
            </w:r>
          </w:p>
        </w:tc>
        <w:tc>
          <w:tcPr>
            <w:tcW w:type="dxa" w:w="1699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Knives, slicers, grinders</w:t>
            </w:r>
          </w:p>
        </w:tc>
        <w:tc>
          <w:tcPr>
            <w:tcW w:type="dxa" w:w="180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Cuts/amputation</w:t>
            </w:r>
          </w:p>
        </w:tc>
        <w:tc>
          <w:tcPr>
            <w:tcW w:type="dxa" w:w="1008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4×4=16 High</w:t>
            </w:r>
          </w:p>
        </w:tc>
        <w:tc>
          <w:tcPr>
            <w:tcW w:type="dxa" w:w="4248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Competency, guards, knife storage, cut-resistant PPE task-assessed, isolate equipment before cleaning, no bypassing.</w:t>
            </w:r>
          </w:p>
        </w:tc>
        <w:tc>
          <w:tcPr>
            <w:tcW w:type="dxa" w:w="108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2×4=8 Medium</w:t>
            </w:r>
          </w:p>
        </w:tc>
      </w:tr>
      <w:tr>
        <w:tc>
          <w:tcPr>
            <w:tcW w:type="dxa" w:w="50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5</w:t>
            </w:r>
          </w:p>
        </w:tc>
        <w:tc>
          <w:tcPr>
            <w:tcW w:type="dxa" w:w="1699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Wet/greasy floors and drains</w:t>
            </w:r>
          </w:p>
        </w:tc>
        <w:tc>
          <w:tcPr>
            <w:tcW w:type="dxa" w:w="180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Slips/trips/falls</w:t>
            </w:r>
          </w:p>
        </w:tc>
        <w:tc>
          <w:tcPr>
            <w:tcW w:type="dxa" w:w="100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4×3=12 High</w:t>
            </w:r>
          </w:p>
        </w:tc>
        <w:tc>
          <w:tcPr>
            <w:tcW w:type="dxa" w:w="424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Clean-as-you-go, spill response, non-slip footwear, warning signage, mats/drain maintenance, housekeeping inspections.</w:t>
            </w:r>
          </w:p>
        </w:tc>
        <w:tc>
          <w:tcPr>
            <w:tcW w:type="dxa" w:w="108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2×3=6 Medium</w:t>
            </w:r>
          </w:p>
        </w:tc>
      </w:tr>
      <w:tr>
        <w:tc>
          <w:tcPr>
            <w:tcW w:type="dxa" w:w="504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6</w:t>
            </w:r>
          </w:p>
        </w:tc>
        <w:tc>
          <w:tcPr>
            <w:tcW w:type="dxa" w:w="1699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Cleaning chemicals</w:t>
            </w:r>
          </w:p>
        </w:tc>
        <w:tc>
          <w:tcPr>
            <w:tcW w:type="dxa" w:w="180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Chemical burns, respiratory/eye injury, food contamination</w:t>
            </w:r>
          </w:p>
        </w:tc>
        <w:tc>
          <w:tcPr>
            <w:tcW w:type="dxa" w:w="1008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3×4=12 High</w:t>
            </w:r>
          </w:p>
        </w:tc>
        <w:tc>
          <w:tcPr>
            <w:tcW w:type="dxa" w:w="4248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SDS, labelled storage, dilution controls, PPE, segregation from food, eyewash as assessed, training and spill response.</w:t>
            </w:r>
          </w:p>
        </w:tc>
        <w:tc>
          <w:tcPr>
            <w:tcW w:type="dxa" w:w="108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1×4=4 Low</w:t>
            </w:r>
          </w:p>
        </w:tc>
      </w:tr>
      <w:tr>
        <w:tc>
          <w:tcPr>
            <w:tcW w:type="dxa" w:w="50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7</w:t>
            </w:r>
          </w:p>
        </w:tc>
        <w:tc>
          <w:tcPr>
            <w:tcW w:type="dxa" w:w="1699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Manual handling / repetitive work</w:t>
            </w:r>
          </w:p>
        </w:tc>
        <w:tc>
          <w:tcPr>
            <w:tcW w:type="dxa" w:w="180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Strains, MSK injuries</w:t>
            </w:r>
          </w:p>
        </w:tc>
        <w:tc>
          <w:tcPr>
            <w:tcW w:type="dxa" w:w="100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4×3=12 High</w:t>
            </w:r>
          </w:p>
        </w:tc>
        <w:tc>
          <w:tcPr>
            <w:tcW w:type="dxa" w:w="424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Trolleys, team lifting, weight limits, safe shelving, job rotation, ergonomic layout, training.</w:t>
            </w:r>
          </w:p>
        </w:tc>
        <w:tc>
          <w:tcPr>
            <w:tcW w:type="dxa" w:w="108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2×3=6 Medium</w:t>
            </w:r>
          </w:p>
        </w:tc>
      </w:tr>
      <w:tr>
        <w:tc>
          <w:tcPr>
            <w:tcW w:type="dxa" w:w="504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8</w:t>
            </w:r>
          </w:p>
        </w:tc>
        <w:tc>
          <w:tcPr>
            <w:tcW w:type="dxa" w:w="1699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Foodborne illness / cross-contamination</w:t>
            </w:r>
          </w:p>
        </w:tc>
        <w:tc>
          <w:tcPr>
            <w:tcW w:type="dxa" w:w="180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Outbreak, serious illness, closure/reputational harm</w:t>
            </w:r>
          </w:p>
        </w:tc>
        <w:tc>
          <w:tcPr>
            <w:tcW w:type="dxa" w:w="1008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4×5=20 Extreme</w:t>
            </w:r>
          </w:p>
        </w:tc>
        <w:tc>
          <w:tcPr>
            <w:tcW w:type="dxa" w:w="4248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HACCP plan, PRPs, hygiene, time/temperature control, cleaning, allergen control, supplier approval, illness exclusion, records.</w:t>
            </w:r>
          </w:p>
        </w:tc>
        <w:tc>
          <w:tcPr>
            <w:tcW w:type="dxa" w:w="108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1×5=5 Medium</w:t>
            </w:r>
          </w:p>
        </w:tc>
      </w:tr>
      <w:tr>
        <w:tc>
          <w:tcPr>
            <w:tcW w:type="dxa" w:w="50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9</w:t>
            </w:r>
          </w:p>
        </w:tc>
        <w:tc>
          <w:tcPr>
            <w:tcW w:type="dxa" w:w="1699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Pests, waste and drains</w:t>
            </w:r>
          </w:p>
        </w:tc>
        <w:tc>
          <w:tcPr>
            <w:tcW w:type="dxa" w:w="180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Contamination, disease, slips, odor</w:t>
            </w:r>
          </w:p>
        </w:tc>
        <w:tc>
          <w:tcPr>
            <w:tcW w:type="dxa" w:w="100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3×4=12 High</w:t>
            </w:r>
          </w:p>
        </w:tc>
        <w:tc>
          <w:tcPr>
            <w:tcW w:type="dxa" w:w="424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Pest control, closed bins, frequent removal, drain maintenance, proofing, inspections, waste contractor.</w:t>
            </w:r>
          </w:p>
        </w:tc>
        <w:tc>
          <w:tcPr>
            <w:tcW w:type="dxa" w:w="108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1×4=4 Low</w:t>
            </w:r>
          </w:p>
        </w:tc>
      </w:tr>
      <w:tr>
        <w:tc>
          <w:tcPr>
            <w:tcW w:type="dxa" w:w="504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10</w:t>
            </w:r>
          </w:p>
        </w:tc>
        <w:tc>
          <w:tcPr>
            <w:tcW w:type="dxa" w:w="1699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Catering transport / delivery</w:t>
            </w:r>
          </w:p>
        </w:tc>
        <w:tc>
          <w:tcPr>
            <w:tcW w:type="dxa" w:w="180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Road injury, food temperature abuse, contamination</w:t>
            </w:r>
          </w:p>
        </w:tc>
        <w:tc>
          <w:tcPr>
            <w:tcW w:type="dxa" w:w="1008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3×5=15 High</w:t>
            </w:r>
          </w:p>
        </w:tc>
        <w:tc>
          <w:tcPr>
            <w:tcW w:type="dxa" w:w="4248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Competent driver, vehicle maintenance, route plan, secured loads, insulated/refrigerated food protection, temperature/hand-over records.</w:t>
            </w:r>
          </w:p>
        </w:tc>
        <w:tc>
          <w:tcPr>
            <w:tcW w:type="dxa" w:w="108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1×5=5 Medium</w:t>
            </w:r>
          </w:p>
        </w:tc>
      </w:tr>
      <w:tr>
        <w:tc>
          <w:tcPr>
            <w:tcW w:type="dxa" w:w="50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11</w:t>
            </w:r>
          </w:p>
        </w:tc>
        <w:tc>
          <w:tcPr>
            <w:tcW w:type="dxa" w:w="1699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Fire emergency / evacuation</w:t>
            </w:r>
          </w:p>
        </w:tc>
        <w:tc>
          <w:tcPr>
            <w:tcW w:type="dxa" w:w="180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Injury/fatality, property loss</w:t>
            </w:r>
          </w:p>
        </w:tc>
        <w:tc>
          <w:tcPr>
            <w:tcW w:type="dxa" w:w="100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3×5=15 High</w:t>
            </w:r>
          </w:p>
        </w:tc>
        <w:tc>
          <w:tcPr>
            <w:tcW w:type="dxa" w:w="424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Alarm/extinguishers, evacuation plan, exits clear, drill, muster, emergency contacts, suppression/hood maintenance as applicable.</w:t>
            </w:r>
          </w:p>
        </w:tc>
        <w:tc>
          <w:tcPr>
            <w:tcW w:type="dxa" w:w="108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1×5=5 Medium</w:t>
            </w:r>
          </w:p>
        </w:tc>
      </w:tr>
      <w:tr>
        <w:tc>
          <w:tcPr>
            <w:tcW w:type="dxa" w:w="504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12</w:t>
            </w:r>
          </w:p>
        </w:tc>
        <w:tc>
          <w:tcPr>
            <w:tcW w:type="dxa" w:w="1699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Heat stress / poor ventilation</w:t>
            </w:r>
          </w:p>
        </w:tc>
        <w:tc>
          <w:tcPr>
            <w:tcW w:type="dxa" w:w="180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Heat illness, fatigue, reduced hygiene/control</w:t>
            </w:r>
          </w:p>
        </w:tc>
        <w:tc>
          <w:tcPr>
            <w:tcW w:type="dxa" w:w="1008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3×4=12 High</w:t>
            </w:r>
          </w:p>
        </w:tc>
        <w:tc>
          <w:tcPr>
            <w:tcW w:type="dxa" w:w="4248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Ventilation/AC, hydration, rest breaks, work planning, monitoring and reporting.</w:t>
            </w:r>
          </w:p>
        </w:tc>
        <w:tc>
          <w:tcPr>
            <w:tcW w:type="dxa" w:w="108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1×4=4 Low</w:t>
            </w:r>
          </w:p>
        </w:tc>
      </w:tr>
    </w:tbl>
    <w:p>
      <w:pPr>
        <w:spacing w:after="0"/>
      </w:pPr>
    </w:p>
    <w:p>
      <w:pPr>
        <w:pStyle w:val="Heading1"/>
      </w:pPr>
      <w:r>
        <w:t>3. Emergency Control Requirements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rPr>
          <w:tblHeader w:val="true"/>
        </w:trPr>
        <w:tc>
          <w:tcPr>
            <w:tcW w:type="dxa" w:w="2232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Emergency</w:t>
            </w:r>
          </w:p>
        </w:tc>
        <w:tc>
          <w:tcPr>
            <w:tcW w:type="dxa" w:w="8136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Immediate Response</w:t>
            </w:r>
          </w:p>
        </w:tc>
      </w:tr>
      <w:tr>
        <w:tc>
          <w:tcPr>
            <w:tcW w:type="dxa" w:w="223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Gas smell / leak</w:t>
            </w:r>
          </w:p>
        </w:tc>
        <w:tc>
          <w:tcPr>
            <w:tcW w:type="dxa" w:w="813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Do not operate electrical switches; stop work; isolate gas if safe; evacuate; call emergency services/site response; ventilate only when safe; prevent re-entry until competent clearance.</w:t>
            </w:r>
          </w:p>
        </w:tc>
      </w:tr>
      <w:tr>
        <w:tc>
          <w:tcPr>
            <w:tcW w:type="dxa" w:w="2232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Kitchen fire</w:t>
            </w:r>
          </w:p>
        </w:tc>
        <w:tc>
          <w:tcPr>
            <w:tcW w:type="dxa" w:w="8136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Raise alarm; use suitable extinguisher/fire blanket only if trained and safe; do not use water on oil fire; evacuate; call emergency services; account for personnel.</w:t>
            </w:r>
          </w:p>
        </w:tc>
      </w:tr>
      <w:tr>
        <w:tc>
          <w:tcPr>
            <w:tcW w:type="dxa" w:w="223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Food safety incident</w:t>
            </w:r>
          </w:p>
        </w:tc>
        <w:tc>
          <w:tcPr>
            <w:tcW w:type="dxa" w:w="813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Stop service; isolate food; preserve evidence/records; notify Food Safety In-Charge; activate trace/withdrawal and local authority notification process as required.</w:t>
            </w:r>
          </w:p>
        </w:tc>
      </w:tr>
      <w:tr>
        <w:tc>
          <w:tcPr>
            <w:tcW w:type="dxa" w:w="2232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Chemical splash</w:t>
            </w:r>
          </w:p>
        </w:tc>
        <w:tc>
          <w:tcPr>
            <w:tcW w:type="dxa" w:w="8136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Use emergency eyewash/shower as applicable; remove contaminated clothing; seek medical attention; follow SDS; prevent chemical from contacting food/water/drain.</w:t>
            </w:r>
          </w:p>
        </w:tc>
      </w:tr>
      <w:tr>
        <w:tc>
          <w:tcPr>
            <w:tcW w:type="dxa" w:w="223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Serious injury</w:t>
            </w:r>
          </w:p>
        </w:tc>
        <w:tc>
          <w:tcPr>
            <w:tcW w:type="dxa" w:w="813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Make area safe; give first aid by trained person; call emergency services; preserve scene and report through HSE procedure.</w:t>
            </w:r>
          </w:p>
        </w:tc>
      </w:tr>
    </w:tbl>
    <w:p>
      <w:pPr>
        <w:spacing w:after="0"/>
      </w:pPr>
    </w:p>
    <w:p>
      <w:pPr>
        <w:pStyle w:val="Heading1"/>
      </w:pPr>
      <w:r>
        <w:t>References and Regulatory Sources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rPr>
          <w:tblHeader w:val="true"/>
        </w:trPr>
        <w:tc>
          <w:tcPr>
            <w:tcW w:type="dxa" w:w="648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Ref.</w:t>
            </w:r>
          </w:p>
        </w:tc>
        <w:tc>
          <w:tcPr>
            <w:tcW w:type="dxa" w:w="9720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Official Source</w:t>
            </w:r>
          </w:p>
        </w:tc>
      </w:tr>
      <w:tr>
        <w:tc>
          <w:tcPr>
            <w:tcW w:type="dxa" w:w="64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[1]</w:t>
            </w:r>
          </w:p>
        </w:tc>
        <w:tc>
          <w:tcPr>
            <w:tcW w:type="dxa" w:w="972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Federal Law No. 10 of 2015 Concerning Food Safety — https://uaelegislation.gov.ae/en/legislations/1161</w:t>
            </w:r>
          </w:p>
        </w:tc>
      </w:tr>
      <w:tr>
        <w:tc>
          <w:tcPr>
            <w:tcW w:type="dxa" w:w="648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[2]</w:t>
            </w:r>
          </w:p>
        </w:tc>
        <w:tc>
          <w:tcPr>
            <w:tcW w:type="dxa" w:w="972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Cabinet Resolution No. 26 of 2017 Concerning the Executive Regulations of the Food Safety Law — https://uaelegislation.gov.ae/en/legislations/1160</w:t>
            </w:r>
          </w:p>
        </w:tc>
      </w:tr>
      <w:tr>
        <w:tc>
          <w:tcPr>
            <w:tcW w:type="dxa" w:w="64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[3]</w:t>
            </w:r>
          </w:p>
        </w:tc>
        <w:tc>
          <w:tcPr>
            <w:tcW w:type="dxa" w:w="972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Abu Dhabi Agriculture and Food Safety Authority — Essential Food Safety Training Program — https://www.adafsa.gov.ae/en/work/food-safety/Pages/training-program.aspx</w:t>
            </w:r>
          </w:p>
        </w:tc>
      </w:tr>
      <w:tr>
        <w:tc>
          <w:tcPr>
            <w:tcW w:type="dxa" w:w="648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[4]</w:t>
            </w:r>
          </w:p>
        </w:tc>
        <w:tc>
          <w:tcPr>
            <w:tcW w:type="dxa" w:w="972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Dubai Municipality — Food Traders and Establishments / Food Code and approved guidance — https://www.dm.gov.ae/municipality-business/food-traders-establishments/</w:t>
            </w:r>
          </w:p>
        </w:tc>
      </w:tr>
      <w:tr>
        <w:tc>
          <w:tcPr>
            <w:tcW w:type="dxa" w:w="64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[5]</w:t>
            </w:r>
          </w:p>
        </w:tc>
        <w:tc>
          <w:tcPr>
            <w:tcW w:type="dxa" w:w="972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Sharjah Municipality — Food Control services directory — https://shjmun.gov.ae/servicedirectory/subServices/17</w:t>
            </w:r>
          </w:p>
        </w:tc>
      </w:tr>
      <w:tr>
        <w:tc>
          <w:tcPr>
            <w:tcW w:type="dxa" w:w="648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[6]</w:t>
            </w:r>
          </w:p>
        </w:tc>
        <w:tc>
          <w:tcPr>
            <w:tcW w:type="dxa" w:w="972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Ajman — Health Permit Request service — https://www.ajman.ae/en/servicecatalog/services/3358</w:t>
            </w:r>
          </w:p>
        </w:tc>
      </w:tr>
      <w:tr>
        <w:tc>
          <w:tcPr>
            <w:tcW w:type="dxa" w:w="64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[7]</w:t>
            </w:r>
          </w:p>
        </w:tc>
        <w:tc>
          <w:tcPr>
            <w:tcW w:type="dxa" w:w="972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Ras Al Khaimah Municipality — Food Control Section Food Code — https://sanad.mun.rak.ae/docs/en/fcs-requirements-for-food-establishments-food-code</w:t>
            </w:r>
          </w:p>
        </w:tc>
      </w:tr>
      <w:tr>
        <w:tc>
          <w:tcPr>
            <w:tcW w:type="dxa" w:w="648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[8]</w:t>
            </w:r>
          </w:p>
        </w:tc>
        <w:tc>
          <w:tcPr>
            <w:tcW w:type="dxa" w:w="972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Fujairah Municipality — Food Programme / HACCP, Start Right and Self-Inspector service — https://portal.fujmun.gov.ae/OnlineEServices/en/eService/ServicePages/service_information.aspx?serviceId=203</w:t>
            </w:r>
          </w:p>
        </w:tc>
      </w:tr>
      <w:tr>
        <w:tc>
          <w:tcPr>
            <w:tcW w:type="dxa" w:w="64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[9]</w:t>
            </w:r>
          </w:p>
        </w:tc>
        <w:tc>
          <w:tcPr>
            <w:tcW w:type="dxa" w:w="972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Umm Al Quwain Municipality — food and drinking-water services portal — https://www.uaq.ae/ar/changeLanguage.html?fromPage=umm-al-quwain/department/Municipality%20of%20Umm%20Al%20Quwain.html&amp;ignore=&amp;languageCode=ar</w:t>
            </w:r>
          </w:p>
        </w:tc>
      </w:tr>
    </w:tbl>
    <w:p>
      <w:pPr>
        <w:spacing w:after="0"/>
      </w:pPr>
    </w:p>
    <w:p>
      <w:pPr>
        <w:spacing w:after="80"/>
      </w:pPr>
      <w:r>
        <w:rPr>
          <w:rFonts w:ascii="Arial" w:hAnsi="Arial"/>
        </w:rPr>
        <w:t>All sources were accessed on 19-Aug-2026. Authority portals, forms and published requirements may change. The Arabic text prevails where an English translation differs from the applicable legal text.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c>
          <w:tcPr>
            <w:tcW w:type="dxa" w:w="3552"/>
            <w:shd w:fill="DDEBF7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17365D"/>
                <w:sz w:val="15"/>
              </w:rPr>
              <w:t>Prepared by — HSE Officer</w:t>
            </w:r>
          </w:p>
        </w:tc>
        <w:tc>
          <w:tcPr>
            <w:tcW w:type="dxa" w:w="3552"/>
            <w:shd w:fill="DDEBF7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17365D"/>
                <w:sz w:val="15"/>
              </w:rPr>
              <w:t>Reviewed by — Food Safety In-Charge</w:t>
            </w:r>
          </w:p>
        </w:tc>
        <w:tc>
          <w:tcPr>
            <w:tcW w:type="dxa" w:w="3552"/>
            <w:shd w:fill="DDEBF7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17365D"/>
                <w:sz w:val="15"/>
              </w:rPr>
              <w:t>Approved by — Camp / Project Manager</w:t>
            </w:r>
          </w:p>
        </w:tc>
      </w:tr>
      <w:tr>
        <w:tc>
          <w:tcPr>
            <w:tcW w:type="dxa" w:w="3552"/>
            <w:vAlign w:val="center"/>
            <w:tcMar>
              <w:top w:w="100" w:type="dxa"/>
              <w:start w:w="80" w:type="dxa"/>
              <w:bottom w:w="23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Name: ____________________</w:t>
              <w:br/>
              <w:t>Signature: ________________</w:t>
              <w:br/>
              <w:t>Date: ____________________</w:t>
            </w:r>
          </w:p>
        </w:tc>
        <w:tc>
          <w:tcPr>
            <w:tcW w:type="dxa" w:w="3552"/>
            <w:vAlign w:val="center"/>
            <w:tcMar>
              <w:top w:w="100" w:type="dxa"/>
              <w:start w:w="80" w:type="dxa"/>
              <w:bottom w:w="23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Name: ____________________</w:t>
              <w:br/>
              <w:t>Signature: ________________</w:t>
              <w:br/>
              <w:t>Date: ____________________</w:t>
            </w:r>
          </w:p>
        </w:tc>
        <w:tc>
          <w:tcPr>
            <w:tcW w:type="dxa" w:w="3552"/>
            <w:vAlign w:val="center"/>
            <w:tcMar>
              <w:top w:w="100" w:type="dxa"/>
              <w:start w:w="80" w:type="dxa"/>
              <w:bottom w:w="23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Name: ____________________</w:t>
              <w:br/>
              <w:t>Signature: ________________</w:t>
              <w:br/>
              <w:t>Date: ____________________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749" w:right="792" w:bottom="749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95959"/>
        <w:sz w:val="14"/>
      </w:rPr>
      <w:t xml:space="preserve">Controlled draft — validate with the competent authority before formal issue | Page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292"/>
      <w:gridCol w:w="5292"/>
    </w:tblGrid>
    <w:tr>
      <w:tc>
        <w:tcPr>
          <w:tcW w:type="dxa" w:w="7200"/>
          <w:shd w:fill="17365D"/>
          <w:vAlign w:val="center"/>
          <w:tcMar>
            <w:top w:w="70" w:type="dxa"/>
            <w:start w:w="80" w:type="dxa"/>
            <w:bottom w:w="70" w:type="dxa"/>
            <w:end w:w="80" w:type="dxa"/>
          </w:tcMar>
        </w:tcPr>
        <w:p>
          <w:r/>
          <w:r>
            <w:rPr>
              <w:rFonts w:ascii="Arial" w:hAnsi="Arial"/>
              <w:b/>
              <w:color w:val="FFFFFF"/>
              <w:sz w:val="17"/>
            </w:rPr>
            <w:t>UAE CAMP KITCHEN &amp; CATERING SAFETY SYSTEM</w:t>
          </w:r>
        </w:p>
      </w:tc>
      <w:tc>
        <w:tcPr>
          <w:tcW w:type="dxa" w:w="3384"/>
          <w:shd w:fill="007B84"/>
          <w:vAlign w:val="center"/>
          <w:tcMar>
            <w:top w:w="70" w:type="dxa"/>
            <w:start w:w="80" w:type="dxa"/>
            <w:bottom w:w="70" w:type="dxa"/>
            <w:end w:w="80" w:type="dxa"/>
          </w:tcMar>
        </w:tcPr>
        <w:p>
          <w:pPr>
            <w:jc w:val="right"/>
          </w:pPr>
          <w:r/>
          <w:r>
            <w:rPr>
              <w:rFonts w:ascii="Arial" w:hAnsi="Arial"/>
              <w:b/>
              <w:color w:val="FFFFFF"/>
              <w:sz w:val="16"/>
            </w:rPr>
            <w:t>CK-HSE-RA-001 / REV 00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2" w:lineRule="auto"/>
    </w:pPr>
    <w:rPr>
      <w:rFonts w:ascii="Arial" w:hAnsi="Arial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60"/>
      <w:outlineLvl w:val="0"/>
    </w:pPr>
    <w:rPr>
      <w:rFonts w:asciiTheme="majorHAnsi" w:eastAsiaTheme="majorEastAsia" w:hAnsiTheme="majorHAnsi" w:cstheme="majorBidi" w:ascii="Arial" w:hAnsi="Arial"/>
      <w:b/>
      <w:bCs/>
      <w:color w:val="17365D"/>
      <w:sz w:val="25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60"/>
      <w:outlineLvl w:val="1"/>
    </w:pPr>
    <w:rPr>
      <w:rFonts w:asciiTheme="majorHAnsi" w:eastAsiaTheme="majorEastAsia" w:hAnsiTheme="majorHAnsi" w:cstheme="majorBidi" w:ascii="Arial" w:hAnsi="Arial"/>
      <w:b/>
      <w:bCs/>
      <w:color w:val="007B84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60"/>
      <w:outlineLvl w:val="2"/>
    </w:pPr>
    <w:rPr>
      <w:rFonts w:asciiTheme="majorHAnsi" w:eastAsiaTheme="majorEastAsia" w:hAnsiTheme="majorHAnsi" w:cstheme="majorBidi" w:ascii="Arial" w:hAnsi="Arial"/>
      <w:b/>
      <w:bCs/>
      <w:color w:val="595959"/>
      <w:sz w:val="19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60" w:line="240" w:lineRule="auto" w:before="160"/>
      <w:contextualSpacing/>
    </w:pPr>
    <w:rPr>
      <w:rFonts w:asciiTheme="majorHAnsi" w:eastAsiaTheme="majorEastAsia" w:hAnsiTheme="majorHAnsi" w:cstheme="majorBidi" w:ascii="Arial" w:hAnsi="Arial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