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pStyle w:val="MdHeading1"/>
      </w:pPr>
      <w:r>
        <w:t xml:space="preserve">Authority Notification and Industrial / Free-Zone Utility Handover Pack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Document control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Detail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Prepared by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Intermass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Purpose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Provide a professional authority-notification email and a detailed checklist for final site clearance, environmental handover, permanent utility-meter handover and meter-removal scenarios.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Users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Project managers, MEP managers, utility coordinators, HSE/environment managers, document controllers and client representatives.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Jurisdictions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Dubai, Abu Dhabi and free-zone/industrial developments. The exact plot authority, utility provider, master developer and permit conditions must be confirmed before use.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Core distinction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A permanent-meter handover is normally a transfer/acceptance process. A permanent-meter closure/removal is normally a demolition, redevelopment or no-longer-required-service process.</w:t>
            </w:r>
          </w:p>
        </w:tc>
      </w:tr>
    </w:tbl>
    <w:p>
      <w:pPr>
        <w:pStyle w:val="Heading2"/>
        <w:pStyle w:val="MdHeading2"/>
      </w:pPr>
      <w:r>
        <w:t xml:space="preserve">1. Before sending: select the correct notification type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Notification type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Use it when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Do not use it when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Expected result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Final site-clearance / environmental-handover request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Works are complete and an authority or jurisdictional body must confirm closure, acceptance, inspection or permit-condition compliance.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 final inspection, waste record, rehabilitation action or utility task remains open.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Written direction, inspection appointment, portal acknowledgement or clearance/closeout confirmation.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Permanent utility handover notification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The asset will remain occupied/operational and permanent services transfer to the client, landlord, facility manager or nominated account holder.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The permanent meter must be removed because the asset is being demolished/redeveloped.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Account-holder/occupancy transition, meter reading/acceptance and operating-responsibility record.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Permanent meter removal / closure request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Owner-approved demolition, redevelopment or cessation of the service makes the meter unnecessary.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The client needs the permanent service after construction handover.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Approved removal, isolation/disconnection and site/meter closure confirmation.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Free-zone lease/licence termination notice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The entity is closing a lease, licence or company operation.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The project is only handing over a completed facility while the tenant/client remains operational.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Separate corporate/lease closure workstream with free-zone clearances.</w:t>
            </w:r>
          </w:p>
        </w:tc>
      </w:tr>
    </w:tbl>
    <w:p>
      <w:pPr>
        <w:pStyle w:val="MdBlockquote"/>
      </w:pPr>
      <w:r>
        <w:rPr>
          <w:rStyle w:val="MdStrong"/>
          <w:b/>
          <w:bCs/>
        </w:rPr>
        <w:t xml:space="preserve">Management rule:</w:t>
      </w:r>
      <w:r>
        <w:t xml:space="preserve"> Do not allow a “close meter” task to be marked required until the client, owner and project director have signed the end-state decision. This avoids disconnecting a building that is due to operate on Day One after handover.</w:t>
      </w: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2. Authority notification email template</w:t>
      </w:r>
    </w:p>
    <w:p>
      <w:pPr>
        <w:pStyle w:val="Heading3"/>
        <w:pStyle w:val="MdHeading3"/>
      </w:pPr>
      <w:r>
        <w:t xml:space="preserve">Email subject</w:t>
      </w:r>
    </w:p>
    <w:p>
      <w:pPr>
        <w:pStyle w:val="MdBlockquote"/>
      </w:pPr>
      <w:r>
        <w:rPr>
          <w:rStyle w:val="MdStrong"/>
          <w:b/>
          <w:bCs/>
        </w:rPr>
        <w:t xml:space="preserve">Request for Final Site Clearance and Environmental Handover — [Project Name] — [Plot / Lease / Building No.] — [Authority Reference]</w:t>
      </w:r>
    </w:p>
    <w:p>
      <w:pPr>
        <w:pStyle w:val="MdSpace"/>
        <w:spacing w:before="0" w:after="60"/>
      </w:pPr>
    </w:p>
    <w:p>
      <w:pPr>
        <w:pStyle w:val="Heading3"/>
        <w:pStyle w:val="MdHeading3"/>
      </w:pPr>
      <w:r>
        <w:t xml:space="preserve">Email body</w:t>
      </w:r>
    </w:p>
    <w:p>
      <w:pPr>
        <w:pStyle w:val="MdBlockquote"/>
      </w:pPr>
      <w:r>
        <w:rPr>
          <w:rStyle w:val="MdStrong"/>
          <w:b/>
          <w:bCs/>
        </w:rPr>
        <w:t xml:space="preserve">To:</w:t>
      </w:r>
      <w:r>
        <w:t xml:space="preserve"> [Named authority officer / authority inbox]</w:t>
      </w:r>
      <w:r>
        <w:rPr>
          <w:rStyle w:val="MdBr"/>
        </w:rPr>
        <w:br/>
        <w:t xml:space="preserve"/>
      </w:r>
      <w:r>
        <w:rPr>
          <w:rStyle w:val="MdStrong"/>
          <w:b/>
          <w:bCs/>
        </w:rPr>
        <w:t xml:space="preserve">Cc:</w:t>
      </w:r>
      <w:r>
        <w:t xml:space="preserve"> [Client representative]; [Consultant]; [Master developer/free-zone authority]; [HSE/environment manager]; [Utility coordinator]</w:t>
      </w:r>
      <w:r>
        <w:rPr>
          <w:rStyle w:val="MdBr"/>
        </w:rPr>
        <w:br/>
        <w:t xml:space="preserve"/>
      </w:r>
      <w:r>
        <w:rPr>
          <w:rStyle w:val="MdStrong"/>
          <w:b/>
          <w:bCs/>
        </w:rPr>
        <w:t xml:space="preserve">From:</w:t>
      </w:r>
      <w:r>
        <w:t xml:space="preserve"> Intermass — [Project manager name / title]  </w:t>
      </w:r>
    </w:p>
    <w:p>
      <w:pPr>
        <w:pStyle w:val="MdSpace"/>
        <w:spacing w:before="0" w:after="60"/>
      </w:pPr>
    </w:p>
    <w:p>
      <w:pPr>
        <w:pStyle w:val="MdBlockquote"/>
      </w:pPr>
      <w:r>
        <w:t xml:space="preserve">Dear [Title and name / Authority Team],</w:t>
      </w:r>
    </w:p>
    <w:p>
      <w:pPr>
        <w:pStyle w:val="MdSpace"/>
        <w:spacing w:before="0" w:after="60"/>
      </w:pPr>
    </w:p>
    <w:p>
      <w:pPr>
        <w:pStyle w:val="MdBlockquote"/>
      </w:pPr>
      <w:r>
        <w:t xml:space="preserve">Intermass, on behalf of </w:t>
      </w:r>
      <w:r>
        <w:rPr>
          <w:rStyle w:val="MdStrong"/>
          <w:b/>
          <w:bCs/>
        </w:rPr>
        <w:t xml:space="preserve">[Client / Permit Holder]</w:t>
      </w:r>
      <w:r>
        <w:t xml:space="preserve">, respectfully notifies </w:t>
      </w:r>
      <w:r>
        <w:rPr>
          <w:rStyle w:val="MdStrong"/>
          <w:b/>
          <w:bCs/>
        </w:rPr>
        <w:t xml:space="preserve">[Dubai Municipality / Abu Dhabi Municipality / Department of Municipalities and Transport route / relevant free-zone authority]</w:t>
      </w:r>
      <w:r>
        <w:t xml:space="preserve"> that the works at </w:t>
      </w:r>
      <w:r>
        <w:rPr>
          <w:rStyle w:val="MdStrong"/>
          <w:b/>
          <w:bCs/>
        </w:rPr>
        <w:t xml:space="preserve">[Project Name]</w:t>
      </w:r>
      <w:r>
        <w:t xml:space="preserve">, Plot/Lease/Building </w:t>
      </w:r>
      <w:r>
        <w:rPr>
          <w:rStyle w:val="MdStrong"/>
          <w:b/>
          <w:bCs/>
        </w:rPr>
        <w:t xml:space="preserve">[reference]</w:t>
      </w:r>
      <w:r>
        <w:t xml:space="preserve">, located at </w:t>
      </w:r>
      <w:r>
        <w:rPr>
          <w:rStyle w:val="MdStrong"/>
          <w:b/>
          <w:bCs/>
        </w:rPr>
        <w:t xml:space="preserve">[full location and jurisdiction]</w:t>
      </w:r>
      <w:r>
        <w:t xml:space="preserve">, have reached the final site-clearance and handover stage.</w:t>
      </w:r>
    </w:p>
    <w:p>
      <w:pPr>
        <w:pStyle w:val="MdSpace"/>
        <w:spacing w:before="0" w:after="60"/>
      </w:pPr>
    </w:p>
    <w:p>
      <w:pPr>
        <w:pStyle w:val="MdBlockquote"/>
      </w:pPr>
      <w:r>
        <w:t xml:space="preserve">The project scope comprised </w:t>
      </w:r>
      <w:r>
        <w:rPr>
          <w:rStyle w:val="MdStrong"/>
          <w:b/>
          <w:bCs/>
        </w:rPr>
        <w:t xml:space="preserve">[brief scope]</w:t>
      </w:r>
      <w:r>
        <w:t xml:space="preserve"> under </w:t>
      </w:r>
      <w:r>
        <w:rPr>
          <w:rStyle w:val="MdStrong"/>
          <w:b/>
          <w:bCs/>
        </w:rPr>
        <w:t xml:space="preserve">[building permit / environmental permit / environmental clearance / NOC / lease reference]</w:t>
      </w:r>
      <w:r>
        <w:t xml:space="preserve">. We request your review and confirmation of the remaining authority requirements for final clearance and environmental handover, including whether an inspection, portal submission, additional NOC, permit-condition closeout, utility evidence or site rehabilitation confirmation is required.</w:t>
      </w:r>
    </w:p>
    <w:p>
      <w:pPr>
        <w:pStyle w:val="MdSpace"/>
        <w:spacing w:before="0" w:after="60"/>
      </w:pPr>
    </w:p>
    <w:p>
      <w:pPr>
        <w:pStyle w:val="MdBlockquote"/>
      </w:pPr>
      <w:r>
        <w:rPr>
          <w:rStyle w:val="MdStrong"/>
          <w:b/>
          <w:bCs/>
        </w:rPr>
        <w:t xml:space="preserve">Current closeout status</w:t>
      </w:r>
    </w:p>
    <w:p>
      <w:pPr>
        <w:pStyle w:val="MdSpace"/>
        <w:spacing w:before="0" w:after="60"/>
      </w:pP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Closeout item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Status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Reference / evidence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Physical works and site housekeeping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[Complete / in progress]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[Completion report / photographs]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Environmental permit / clearance conditions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[Complete / conditional / not applicable]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[Permit reference / conditions register]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Waste and hazardous-material records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[Complete / in progress / not applicable]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[Manifest / transfer note / disposal certificate]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Temporary utility removal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[Complete / in progress / not applicable]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[Request / isolation / removal reference]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Permanent service end state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[Transferred to client / remains in client account / removal requested]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[Utility request / client acceptance]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Site rehabilitation / equipment removal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[Complete / in progress / not applicable]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[Final inspection / photographs / inventory]</w:t>
            </w:r>
          </w:p>
        </w:tc>
      </w:tr>
    </w:tbl>
    <w:p>
      <w:pPr>
        <w:pStyle w:val="MdBlockquote"/>
      </w:pPr>
      <w:r>
        <w:t xml:space="preserve">Attached for your review are the </w:t>
      </w:r>
      <w:r>
        <w:rPr>
          <w:rStyle w:val="MdStrong"/>
          <w:b/>
          <w:bCs/>
        </w:rPr>
        <w:t xml:space="preserve">[completion certificate / approved as-built drawings / environmental closeout register / waste records / final site photographs / utility evidence / client handover record]</w:t>
      </w:r>
      <w:r>
        <w:t xml:space="preserve">. A detailed attachment schedule is included below.</w:t>
      </w:r>
    </w:p>
    <w:p>
      <w:pPr>
        <w:pStyle w:val="MdSpace"/>
        <w:spacing w:before="0" w:after="60"/>
      </w:pPr>
    </w:p>
    <w:p>
      <w:pPr>
        <w:pStyle w:val="MdBlockquote"/>
      </w:pPr>
      <w:r>
        <w:t xml:space="preserve">We kindly request confirmation of the appropriate final-clearance route and, where applicable, an inspection appointment or written confirmation of the remaining actions. Please advise if a specific portal submission, form, fee, original document or additional clearance is required.</w:t>
      </w:r>
    </w:p>
    <w:p>
      <w:pPr>
        <w:pStyle w:val="MdSpace"/>
        <w:spacing w:before="0" w:after="60"/>
      </w:pPr>
    </w:p>
    <w:p>
      <w:pPr>
        <w:pStyle w:val="MdBlockquote"/>
      </w:pPr>
      <w:r>
        <w:t xml:space="preserve">The project team contact for this request is </w:t>
      </w:r>
      <w:r>
        <w:rPr>
          <w:rStyle w:val="MdStrong"/>
          <w:b/>
          <w:bCs/>
        </w:rPr>
        <w:t xml:space="preserve">[name, mobile number, email]</w:t>
      </w:r>
      <w:r>
        <w:t xml:space="preserve">. We would appreciate acknowledgement of receipt and direction on the next step by </w:t>
      </w:r>
      <w:r>
        <w:rPr>
          <w:rStyle w:val="MdStrong"/>
          <w:b/>
          <w:bCs/>
        </w:rPr>
        <w:t xml:space="preserve">[reasonable requested date]</w:t>
      </w:r>
      <w:r>
        <w:t xml:space="preserve">.</w:t>
      </w:r>
    </w:p>
    <w:p>
      <w:pPr>
        <w:pStyle w:val="MdSpace"/>
        <w:spacing w:before="0" w:after="60"/>
      </w:pPr>
    </w:p>
    <w:p>
      <w:pPr>
        <w:pStyle w:val="MdBlockquote"/>
      </w:pPr>
      <w:r>
        <w:t xml:space="preserve">Yours faithfully,</w:t>
      </w:r>
    </w:p>
    <w:p>
      <w:pPr>
        <w:pStyle w:val="MdSpace"/>
        <w:spacing w:before="0" w:after="60"/>
      </w:pPr>
    </w:p>
    <w:p>
      <w:pPr>
        <w:pStyle w:val="MdBlockquote"/>
      </w:pPr>
      <w:r>
        <w:rPr>
          <w:rStyle w:val="MdStrong"/>
          <w:b/>
          <w:bCs/>
        </w:rPr>
        <w:t xml:space="preserve">For Intermass</w:t>
      </w:r>
      <w:r>
        <w:rPr>
          <w:rStyle w:val="MdBr"/>
        </w:rPr>
        <w:br/>
        <w:t xml:space="preserve"/>
      </w:r>
      <w:r>
        <w:t xml:space="preserve">[Name]</w:t>
      </w:r>
      <w:r>
        <w:rPr>
          <w:rStyle w:val="MdBr"/>
        </w:rPr>
        <w:br/>
        <w:t xml:space="preserve"/>
      </w:r>
      <w:r>
        <w:t xml:space="preserve">[Title]</w:t>
      </w:r>
      <w:r>
        <w:rPr>
          <w:rStyle w:val="MdBr"/>
        </w:rPr>
        <w:br/>
        <w:t xml:space="preserve"/>
      </w:r>
      <w:r>
        <w:t xml:space="preserve">[Mobile] | [Email]</w:t>
      </w:r>
      <w:r>
        <w:rPr>
          <w:rStyle w:val="MdBr"/>
        </w:rPr>
        <w:br/>
        <w:t xml:space="preserve"/>
      </w:r>
      <w:r>
        <w:t xml:space="preserve">[Project address]</w:t>
      </w:r>
    </w:p>
    <w:p>
      <w:pPr>
        <w:pStyle w:val="MdSpace"/>
        <w:spacing w:before="0" w:after="60"/>
      </w:pPr>
    </w:p>
    <w:p>
      <w:pPr>
        <w:pStyle w:val="Heading3"/>
        <w:pStyle w:val="MdHeading3"/>
      </w:pPr>
      <w:r>
        <w:t xml:space="preserve">Mandatory attachment schedule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Attachment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Include when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Suggested file name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Authority / permit / NOC register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Every request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Code"/>
                <w:u w:val="single"/>
              </w:rPr>
              <w:t xml:space="preserve">01_Authority_Register_[Project].pdf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Completion and site-clearance report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Every request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Code"/>
                <w:u w:val="single"/>
              </w:rPr>
              <w:t xml:space="preserve">02_Final_Site_Clearance_Report_[Project].pdf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Environmental conditions closeout register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Permit/clearance has environmental conditions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Code"/>
                <w:u w:val="single"/>
              </w:rPr>
              <w:t xml:space="preserve">03_Environmental_Conditions_Closeout_[Project].pdf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Waste and hazardous-material evidence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Waste/hazardous materials generated or removed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Code"/>
                <w:u w:val="single"/>
              </w:rPr>
              <w:t xml:space="preserve">04_Waste_Manifests_and_Disposal_[Project].pdf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Final photos and rehabilitation record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Equipment/site removal, land reinstatement or vacant-land confirmation applies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Code"/>
                <w:u w:val="single"/>
              </w:rPr>
              <w:t xml:space="preserve">05_Rehabilitation_and_Final_Photos_[Project].pdf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Utility handover/closure dossier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Any utility transfer, account closure, meter removal or final bill applies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Code"/>
                <w:u w:val="single"/>
              </w:rPr>
              <w:t xml:space="preserve">06_Utility_Handover_or_Closure_[Project].pdf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Client/owner authority letter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Authority needs owner/permit-holder consent or utility account-holder approval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Code"/>
                <w:u w:val="single"/>
              </w:rPr>
              <w:t xml:space="preserve">07_Client_Owner_Authorisation_[Project].pdf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As-built / testing / commissioning dossier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Permanent service handover, MEP acceptance or building completion applies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Code"/>
                <w:u w:val="single"/>
              </w:rPr>
              <w:t xml:space="preserve">08_AsBuilts_Testing_and_Commissioning_[Project].pdf</w:t>
            </w:r>
          </w:p>
        </w:tc>
      </w:tr>
    </w:tbl>
    <w:p>
      <w:pPr>
        <w:pStyle w:val="Heading2"/>
        <w:pStyle w:val="MdHeading2"/>
      </w:pPr>
      <w:r>
        <w:t xml:space="preserve">3. Jurisdiction-specific email wording to insert where applicable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Jurisdiction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Recommended wording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When to use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Dubai mainland / Dubai Municipality route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“Please confirm the applicable final clearance, environmental-condition closeout and inspection route for this location, including any portal submission or authority-specific evidence required.”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Use the named permit/clearance reference; do not assume Dubai Municipality controls a plot that is governed by a master developer or special authority.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Abu Dhabi Municipality / DMT route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“Please confirm the applicable municipal final-clearance route and whether utility-assets clearance, plot/site approval or environmental-condition confirmation remains required for this location.”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Use the authority name shown on the permit and location system; include DMT/ADM wording only after confirming the assigned jurisdiction.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EAD / Abu Dhabi industrial facility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“The permit holder requests confirmation of the remaining environmental-permit conditions and whether any cancellation, variation, monitoring submission or decommissioning documentation is required.”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Use only when an EAD environmental permit/licence or its conditions apply.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JAFZA / Trakhees / PCFC zone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“Please confirm the applicable free-zone, Trakhees/PCFC and asset/lease clearances required before final facility handover or, where applicable, lease/licence termination.”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Separate </w:t>
            </w:r>
            <w:r>
              <w:rPr>
                <w:rStyle w:val="MdStrong"/>
                <w:b/>
                <w:bCs/>
              </w:rPr>
              <w:t xml:space="preserve">facility handover</w:t>
            </w:r>
            <w:r>
              <w:t xml:space="preserve"> from </w:t>
            </w:r>
            <w:r>
              <w:rPr>
                <w:rStyle w:val="MdStrong"/>
                <w:b/>
                <w:bCs/>
              </w:rPr>
              <w:t xml:space="preserve">company/lease termination</w:t>
            </w:r>
            <w:r>
              <w:t xml:space="preserve">. JAFZA’s termination guidance requires DEWA final-bill settlement/clearance for relevant leased facilities and further clearances depending on formation/operation. </w:t>
            </w:r>
            <w:hyperlink w:history="1" r:id="rId9m64msyfnl1mp-nfgqx0a">
              <w:r>
                <w:rPr>
                  <w:rStyle w:val="MdLink"/>
                </w:rPr>
                <w:t xml:space="preserve">1</w:t>
              </w:r>
            </w:hyperlink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Other industrial/free-zone authority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“Please confirm the zone’s NOC, asset/lease, utility, environmental/HSE and final-inspection requirements for the facility and the planned client operating model.”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Use for KEZAD, Dubai South, DMCC, DAFZA, SAIF Zone, Hamriyah, RAKEZ or any master-developer-controlled site.</w:t>
            </w:r>
          </w:p>
        </w:tc>
      </w:tr>
    </w:tbl>
    <w:p>
      <w:pPr>
        <w:pStyle w:val="Heading2"/>
        <w:pStyle w:val="MdHeading2"/>
      </w:pPr>
      <w:r>
        <w:t xml:space="preserve">4. Detailed permanent utility handover and meter-closure checklist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ID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Control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Handover / closure rule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Required evidence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Primary owner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Applies to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PM-01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Confirm plot jurisdiction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Identify municipality, utility, master developer/free zone, landlord and environmental regulator; record written confirmation where the plot route is unclear.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Jurisdiction map, lease/plot plan, authority email/NOC.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Project manager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Every project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PM-02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Confirm client operating model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Confirm who will occupy, operate and pay for each permanent service from handover.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Signed client/owner operating-responsibility matrix.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Project director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Every project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PM-03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Select meter end state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Select </w:t>
            </w:r>
            <w:r>
              <w:rPr>
                <w:rStyle w:val="MdStrong"/>
                <w:b/>
                <w:bCs/>
              </w:rPr>
              <w:t xml:space="preserve">A. Transfer/retain</w:t>
            </w:r>
            <w:r>
              <w:t xml:space="preserve">, </w:t>
            </w:r>
            <w:r>
              <w:rPr>
                <w:rStyle w:val="MdStrong"/>
                <w:b/>
                <w:bCs/>
              </w:rPr>
              <w:t xml:space="preserve">B. Temporary meter removal</w:t>
            </w:r>
            <w:r>
              <w:t xml:space="preserve">, or </w:t>
            </w:r>
            <w:r>
              <w:rPr>
                <w:rStyle w:val="MdStrong"/>
                <w:b/>
                <w:bCs/>
              </w:rPr>
              <w:t xml:space="preserve">C. Permanent meter removal</w:t>
            </w:r>
            <w:r>
              <w:t xml:space="preserve">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Approved end-state decision.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Project director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Every meter/service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PM-04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Establish service inventory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List electricity, water, sewerage, gas, district cooling, telecom, fire-service connections, drainage pumps and generators; identify meter/account/serial numbers and isolation points.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Meter and service inventory.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Utility coordinator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Every project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PM-05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Classify service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Mark each service permanent, temporary construction, landlord/master-metered, district utility or embedded zone utility.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Classification register signed by MEP/client.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MEP manager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Every project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PM-06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Confirm service ownership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Record account holder, meter owner, service owner, final-bill payer, deposit recipient and future FM contact.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Utility account/ownership declaration.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Commercial manager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Every account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PM-07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Verify technical readiness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Complete energisation, commissioning, protection settings, testing, labelling, access and safe operation of permanent systems.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Test certificates, commissioning records, single-line diagrams, O&amp;M manuals.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MEP/commissioning manager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Transfer/retain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PM-08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Prepare permanent handover pack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Provide as-builts, warranties, O&amp;M manuals, training, spare-parts list, meter data and emergency contacts to client/FM.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Signed technical handover dossier.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Document controller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Transfer/retain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PM-09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Take joint final meter readings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Read meters with client/utility/landlord as required; photograph serial numbers and seals.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Joint meter-reading form and photographs.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Utility coordinator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Every handover/closure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PM-10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Transfer or establish client account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Obtain the correct account transfer, move-in, tenancy/lease and business documentation; confirm payment/deposit treatment.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Utility request, lease/tenancy, trade licence, client account confirmation.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Utility coordinator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Transfer/retain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PM-11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Settle outgoing account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Clear outstanding amounts before deactivation, transfer or clearance request, as relevant.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Final invoice, paid receipt, clearance certificate.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Commercial manager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Account closure / Dubai transfer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PM-12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Confirm DEWA transfer route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For Dubai, use the appropriate DEWA route and retain the premises/account identifiers, valid tenancy/lease documentation and trade licence where relevant to the customer type. DEWA’s Move-to service includes business customers and states that outstanding dues for existing premises must be settled; it lists a valid tenancy contract for free-zone customers and a trade licence for relevant non-DED customers. </w:t>
            </w:r>
            <w:hyperlink w:history="1" r:id="rIdgjb-2khhd9fpiud5yflcz">
              <w:r>
                <w:rPr>
                  <w:rStyle w:val="MdLink"/>
                </w:rPr>
                <w:t xml:space="preserve">2</w:t>
              </w:r>
            </w:hyperlink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DEWA request reference, supporting documents and client confirmation.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Utility coordinator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Dubai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PM-13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Confirm Abu Dhabi removal route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For a genuine permanent-meter removal, confirm owner approval and demolition/redevelopment scope before submitting the TAQA route. TAQA.33 applies to industrial and commercial customers and publishes a four-working-day service time; its listed documents include owner demolition application, municipal demolition permit showing meter count and land plan. </w:t>
            </w:r>
            <w:hyperlink w:history="1" r:id="rIdmjkesdgwt-rgemuarexf3">
              <w:r>
                <w:rPr>
                  <w:rStyle w:val="MdLink"/>
                </w:rPr>
                <w:t xml:space="preserve">3</w:t>
              </w:r>
            </w:hyperlink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TAQA application, owner letter, permit, land plan and closure/work-order evidence.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Utility coordinator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Abu Dhabi removal only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PM-14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Close temporary electricity/water systems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Isolate, lock out, remove temporary panels/cables/pipes, record final reading and remove temporary account/meter only after permanent handover is safe.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LOTO certificate, removal record, final reading and utility confirmation.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MEP manager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Temporary services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PM-15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Obtain zone/master-developer NOC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Confirm whether the zone requires NOC, approved as-builts, lease/affection plan, photographs, inspection or asset handover before modifying/removing/handing over systems. JAFZA’s NOC guidance lists trade licence, permits, approved drawings and, for plot facilities, Trakhees lease/affection plan and approved as-builts. </w:t>
            </w:r>
            <w:hyperlink w:history="1" r:id="rIdv783pswex84e_t0tawli8">
              <w:r>
                <w:rPr>
                  <w:rStyle w:val="MdLink"/>
                </w:rPr>
                <w:t xml:space="preserve">4</w:t>
              </w:r>
            </w:hyperlink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Zone NOC/acceptance, inspection report and approved drawings.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Project manager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Free-zone/industrial development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PM-16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Close free-zone facility vs company/lease track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Decide whether the facility only hands over, or the tenant/company/lease closes. The latter triggers a separate licence/lease termination plan with finance, visas, customs, telecom, utility and authority clearances as applicable. </w:t>
            </w:r>
            <w:hyperlink w:history="1" r:id="rIdzj4k7wxrtagbfuio0o3ds">
              <w:r>
                <w:rPr>
                  <w:rStyle w:val="MdLink"/>
                </w:rPr>
                <w:t xml:space="preserve">1</w:t>
              </w:r>
            </w:hyperlink>
            <w:r>
              <w:t xml:space="preserve"> </w:t>
            </w:r>
            <w:hyperlink w:history="1" r:id="rId87bsdvr9aifgx_sxs8gly">
              <w:r>
                <w:rPr>
                  <w:rStyle w:val="MdLink"/>
                </w:rPr>
                <w:t xml:space="preserve">5</w:t>
              </w:r>
            </w:hyperlink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Management decision and jurisdiction-specific closure checklist.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Client / commercial manager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Free zones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PM-17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Close industrial environmental conditions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Reconcile environmental permit/clearance conditions, monitoring, waste, chemicals, spills/contamination, equipment removal and land rehabilitation.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Conditions register, manifests, inspection/remediation evidence and authority correspondence.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HSE/environment manager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Industrial / permitted activity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PM-18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Retain utility and environmental evidence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Build an indexed evidence pack with request references, approvals, bills, readings, photos, certificates, NOCs and client acceptance.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Final indexed dossier.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Document controller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Every project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PM-19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Conduct dual readiness review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Confirm </w:t>
            </w:r>
            <w:r>
              <w:rPr>
                <w:rStyle w:val="MdStrong"/>
                <w:b/>
                <w:bCs/>
              </w:rPr>
              <w:t xml:space="preserve">Authority/utility ready</w:t>
            </w:r>
            <w:r>
              <w:t xml:space="preserve"> and </w:t>
            </w:r>
            <w:r>
              <w:rPr>
                <w:rStyle w:val="MdStrong"/>
                <w:b/>
                <w:bCs/>
              </w:rPr>
              <w:t xml:space="preserve">Client/FM ready</w:t>
            </w:r>
            <w:r>
              <w:t xml:space="preserve"> statuses independently. List all exceptions, live services and owners.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Signed readiness review and exception register.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Project director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Every project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PM-20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Release final demobilisation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Remove the final temporary support only when permanent services, live asset protection and client/authority dependencies are resolved.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Demobilisation release authorisation.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Project director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Every project</w:t>
            </w:r>
          </w:p>
        </w:tc>
      </w:tr>
    </w:tbl>
    <w:p>
      <w:pPr>
        <w:pStyle w:val="Heading2"/>
        <w:pStyle w:val="MdHeading2"/>
      </w:pPr>
      <w:r>
        <w:t xml:space="preserve">5. Jurisdiction and industry decision matrix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Scenario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Meter action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Authority / documentation route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Critical cautions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Completed industrial facility will operate under the client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Transfer/retain permanent meter.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Utility provider + client account holder + client/FM technical acceptance + zone/master-developer NOC as applicable.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Do not submit permanent-meter removal. Maintain life-safety, process and operational services.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Construction temporary supply no longer required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Disconnect/remove temporary service.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Utility provider + contractor/owner authority + LOTO/removal evidence.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Do it only after permanent systems are safe/operational or occupation is not required.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Industrial facility is demolished/redeveloped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Remove permanent meter only where approved.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Owner approval, demolition permit, land plan, utility application, master-developer/zone clearance and environmental controls.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Confirm every meter is named on the permit/application and all cables/services are isolated.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JAFZA/Trakhees facility is handed over but business continues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Transfer/retain service; close facility construction items.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Zone NOC/asset handover + utility/client account steps; retain environmental/HSE evidence where applicable.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Do not confuse building/facility handover with licence/lease termination.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JAFZA/Trakhees tenant/company/lease is terminating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Close/clear services as the zone requires.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JAFZA/Trakhees termination workflow, DEWA clearance/final settlement for relevant facility types, telecom/finance/customs/visa clearance as applicable. </w:t>
            </w:r>
            <w:hyperlink w:history="1" r:id="rIdvv2qymd0ti5szh1hmevs0">
              <w:r>
                <w:rPr>
                  <w:rStyle w:val="MdLink"/>
                </w:rPr>
                <w:t xml:space="preserve">1</w:t>
              </w:r>
            </w:hyperlink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Corporate deregistration has additional conditions and should run as a dedicated workstream.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Abu Dhabi industrial facility is permanently removed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Remove meter only for approved decommissioning/demolition.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TAQA removal route, owner documentation, municipality demolition permit and land plan; EAD conditions/cancellation if the facility holds the applicable permit/licence. </w:t>
            </w:r>
            <w:hyperlink w:history="1" r:id="rIdll3kjtlxo7ohg6urdnt-s">
              <w:r>
                <w:rPr>
                  <w:rStyle w:val="MdLink"/>
                </w:rPr>
                <w:t xml:space="preserve">3</w:t>
              </w:r>
            </w:hyperlink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TAQA’s published service time is a service indicator, not a substitute for the wider demolition or environmental closeout programme.</w:t>
            </w:r>
          </w:p>
        </w:tc>
      </w:tr>
    </w:tbl>
    <w:p>
      <w:pPr>
        <w:pStyle w:val="Heading2"/>
        <w:pStyle w:val="MdHeading2"/>
      </w:pPr>
      <w:r>
        <w:t xml:space="preserve">6. Suggested target dates and escalation triggers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Milestone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Target before handover / demolition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Escalate when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Jurisdiction, operating model and meter end-state decision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8 weeks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Plot/utility/master-developer route remains unclear beyond the target date.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Utility inventory, account ownership and client FM nomination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6 weeks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Account holder, meter ownership or payer is disputed.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Zone NOC / technical dossier / environmental closeout review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6 weeks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 zone/permit condition requires an inspection, as-built correction or rehabilitation.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Transfer or removal submission package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4 weeks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Owner letter, lease, trade licence, permit or client authorisation is missing.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Joint readings, final bills, clearance and client acceptance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2 weeks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Permanent services are not accepted, final bill is unpaid or closure may interrupt client operation.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Final demobilisation release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Handover day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Any life-safety service, temporary service, environmental condition or authority/client exception remains open.</w:t>
            </w:r>
          </w:p>
        </w:tc>
      </w:tr>
    </w:tbl>
    <w:p>
      <w:pPr>
        <w:pStyle w:val="Heading2"/>
        <w:pStyle w:val="MdHeading2"/>
      </w:pPr>
      <w:r>
        <w:t xml:space="preserve">References</w:t>
      </w:r>
    </w:p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Use note.</w:t>
      </w:r>
      <w:r>
        <w:t xml:space="preserve"> This pack is designed to support authority communication and management control. Before sending, replace every bracketed field, confirm the current service route on the authority/utility portal, and obtain the permit holder/client’s approval. For controlled zones, follow the zone’s current requirements even when an emirate-level utility service appears applicable.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"/>
      <w:lvlJc w:val="left"/>
      <w:pPr>
        <w:ind w:left="720" w:hanging="360"/>
      </w:pPr>
    </w:lvl>
    <w:lvl w:ilvl="1" w15:tentative="1">
      <w:start w:val="1"/>
      <w:numFmt w:val="decimal"/>
      <w:lvlText w:val="%1.%2"/>
      <w:lvlJc w:val="left"/>
      <w:pPr>
        <w:ind w:left="1440" w:hanging="360"/>
      </w:pPr>
    </w:lvl>
    <w:lvl w:ilvl="2" w15:tentative="1">
      <w:start w:val="1"/>
      <w:numFmt w:val="decimal"/>
      <w:lvlText w:val="%1.%2.%3"/>
      <w:lvlJc w:val="left"/>
      <w:pPr>
        <w:ind w:left="2160" w:hanging="360"/>
      </w:pPr>
    </w:lvl>
    <w:lvl w:ilvl="3" w15:tentative="1">
      <w:start w:val="1"/>
      <w:numFmt w:val="decimal"/>
      <w:lvlText w:val="%4)"/>
      <w:lvlJc w:val="left"/>
      <w:pPr>
        <w:ind w:left="2880" w:hanging="360"/>
      </w:pPr>
    </w:lvl>
    <w:lvl w:ilvl="4" w15:tentative="1">
      <w:start w:val="1"/>
      <w:numFmt w:val="decimal"/>
      <w:lvlText w:val="%5)"/>
      <w:lvlJc w:val="left"/>
      <w:pPr>
        <w:ind w:left="3600" w:hanging="360"/>
      </w:pPr>
    </w:lvl>
    <w:lvl w:ilvl="5" w15:tentative="1">
      <w:start w:val="1"/>
      <w:numFmt w:val="decimal"/>
      <w:lvlText w:val="%6)"/>
      <w:lvlJc w:val="left"/>
      <w:pPr>
        <w:ind w:left="4320" w:hanging="360"/>
      </w:pPr>
    </w:lvl>
    <w:lvl w:ilvl="6" w15:tentative="1">
      <w:start w:val="1"/>
      <w:numFmt w:val="decimal"/>
      <w:lvlText w:val="%7)"/>
      <w:lvlJc w:val="left"/>
      <w:pPr>
        <w:ind w:left="5040" w:hanging="360"/>
      </w:pPr>
    </w:lvl>
    <w:lvl w:ilvl="7" w15:tentative="1">
      <w:start w:val="1"/>
      <w:numFmt w:val="decimal"/>
      <w:lvlText w:val="%8)"/>
      <w:lvlJc w:val="left"/>
      <w:pPr>
        <w:ind w:left="5760" w:hanging="360"/>
      </w:pPr>
    </w:lvl>
    <w:lvl w:ilvl="8" w15:tentative="1">
      <w:start w:val="1"/>
      <w:numFmt w:val="decimal"/>
      <w:lvlText w:val="%9)"/>
      <w:lvlJc w:val="left"/>
      <w:pPr>
        <w:ind w:left="64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  <w:lvl w:ilvl="2" w15:tentative="1">
      <w:start w:val="1"/>
      <w:numFmt w:val="bullet"/>
      <w:lvlText w:val="•"/>
      <w:lvlJc w:val="left"/>
      <w:pPr>
        <w:ind w:left="2160" w:hanging="360"/>
      </w:pPr>
    </w:lvl>
    <w:lvl w:ilvl="3" w15:tentative="1">
      <w:start w:val="1"/>
      <w:numFmt w:val="bullet"/>
      <w:lvlText w:val="◦"/>
      <w:lvlJc w:val="left"/>
      <w:pPr>
        <w:ind w:left="2880" w:hanging="360"/>
      </w:pPr>
    </w:lvl>
    <w:lvl w:ilvl="4" w15:tentative="1">
      <w:start w:val="1"/>
      <w:numFmt w:val="bullet"/>
      <w:lvlText w:val="•"/>
      <w:lvlJc w:val="left"/>
      <w:pPr>
        <w:ind w:left="3600" w:hanging="360"/>
      </w:pPr>
    </w:lvl>
    <w:lvl w:ilvl="5" w15:tentative="1">
      <w:start w:val="1"/>
      <w:numFmt w:val="bullet"/>
      <w:lvlText w:val="◦"/>
      <w:lvlJc w:val="left"/>
      <w:pPr>
        <w:ind w:left="4320" w:hanging="360"/>
      </w:pPr>
    </w:lvl>
    <w:lvl w:ilvl="6" w15:tentative="1">
      <w:start w:val="1"/>
      <w:numFmt w:val="bullet"/>
      <w:lvlText w:val="•"/>
      <w:lvlJc w:val="left"/>
      <w:pPr>
        <w:ind w:left="504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</w:rPr>
    </w:rPrDefault>
    <w:pPrDefault>
      <w:pPr>
        <w:spacing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 w:color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MdSpace">
    <w:name w:val="MdSpace"/>
    <w:basedOn w:val="Normal"/>
    <w:next w:val="Normal"/>
    <w:qFormat/>
    <w:pPr>
      <w:spacing w:before="0" w:after="0"/>
    </w:pPr>
    <w:rPr>
      <w:sz w:val="12"/>
      <w:szCs w:val="12"/>
    </w:rPr>
  </w:style>
  <w:style w:type="paragraph" w:styleId="MdCode">
    <w:name w:val="MdCode"/>
    <w:basedOn w:val="Normal"/>
    <w:next w:val="Normal"/>
    <w:qFormat/>
    <w:pPr>
      <w:pBdr>
        <w:top w:val="single" w:color="A5A5A5" w:sz="1" w:space="8"/>
        <w:bottom w:val="single" w:color="A5A5A5" w:sz="1" w:space="8"/>
        <w:left w:val="single" w:color="A5A5A5" w:sz="1" w:space="8"/>
        <w:right w:val="single" w:color="A5A5A5" w:sz="1" w:space="8"/>
      </w:pBdr>
      <w:spacing w:before="200" w:after="200"/>
    </w:pPr>
    <w:rPr>
      <w:rFonts w:ascii="Courier New" w:cs="Courier New" w:eastAsia="Courier New" w:hAnsi="Courier New"/>
      <w:color w:val="70AD47"/>
      <w:sz w:val="22"/>
      <w:szCs w:val="22"/>
    </w:rPr>
  </w:style>
  <w:style w:type="paragraph" w:styleId="MdHr">
    <w:name w:val="MdHr"/>
    <w:basedOn w:val="Normal"/>
    <w:next w:val="Normal"/>
    <w:qFormat/>
    <w:pPr>
      <w:pBdr>
        <w:bottom w:val="single" w:color="A5A5A5" w:sz="1" w:space="1"/>
      </w:pBdr>
      <w:spacing w:before="240" w:after="240"/>
    </w:pPr>
  </w:style>
  <w:style w:type="paragraph" w:styleId="MdBlockquote">
    <w:name w:val="MdBlockquote"/>
    <w:basedOn w:val="Normal"/>
    <w:next w:val="Normal"/>
    <w:qFormat/>
    <w:pPr>
      <w:pBdr>
        <w:left w:val="single" w:color="A5A5A5" w:sz="20" w:space="12"/>
      </w:pBdr>
      <w:spacing w:before="200" w:after="200"/>
      <w:ind w:left="360"/>
    </w:pPr>
    <w:rPr>
      <w:i/>
      <w:iCs/>
      <w:color w:val="666666"/>
    </w:rPr>
  </w:style>
  <w:style w:type="paragraph" w:styleId="MdHtml">
    <w:name w:val="MdHtml"/>
    <w:basedOn w:val="Normal"/>
    <w:next w:val="Normal"/>
    <w:qFormat/>
    <w:rPr>
      <w:rFonts w:ascii="Courier New" w:cs="Courier New" w:eastAsia="Courier New" w:hAnsi="Courier New"/>
      <w:color w:val="ED7D31"/>
    </w:rPr>
  </w:style>
  <w:style w:type="paragraph" w:styleId="MdDef">
    <w:name w:val="MdDef"/>
    <w:basedOn w:val="Normal"/>
    <w:next w:val="Normal"/>
    <w:qFormat/>
    <w:pPr>
      <w:ind w:left="720" w:hanging="360"/>
    </w:pPr>
  </w:style>
  <w:style w:type="paragraph" w:styleId="MdParagraph">
    <w:name w:val="MdParagraph"/>
    <w:basedOn w:val="Normal"/>
    <w:next w:val="Normal"/>
    <w:qFormat/>
    <w:pPr>
      <w:spacing w:before="120" w:after="120"/>
    </w:pPr>
  </w:style>
  <w:style w:type="paragraph" w:styleId="MdText">
    <w:name w:val="MdText"/>
    <w:basedOn w:val="Normal"/>
    <w:next w:val="Normal"/>
    <w:qFormat/>
  </w:style>
  <w:style w:type="paragraph" w:styleId="MdFootnote">
    <w:name w:val="MdFootnote"/>
    <w:basedOn w:val="Normal"/>
    <w:next w:val="Normal"/>
    <w:qFormat/>
    <w:rPr>
      <w:vertAlign w:val="superscript"/>
    </w:rPr>
  </w:style>
  <w:style w:type="paragraph" w:styleId="MdListItem">
    <w:name w:val="MdListItem"/>
    <w:basedOn w:val="Normal"/>
    <w:next w:val="Normal"/>
    <w:qFormat/>
    <w:pPr>
      <w:spacing w:before="60" w:after="60"/>
      <w:ind w:left="720" w:hanging="360"/>
    </w:pPr>
  </w:style>
  <w:style w:type="paragraph" w:styleId="MdTable">
    <w:name w:val="MdTable"/>
    <w:basedOn w:val="Normal"/>
    <w:next w:val="Normal"/>
    <w:qFormat/>
    <w:pPr>
      <w:spacing w:before="60" w:after="60"/>
    </w:pPr>
  </w:style>
  <w:style w:type="paragraph" w:styleId="MdTableHeader">
    <w:name w:val="MdTableHeader"/>
    <w:basedOn w:val="Normal"/>
    <w:next w:val="Normal"/>
    <w:qFormat/>
    <w:pPr>
      <w:spacing w:before="60" w:after="60"/>
    </w:pPr>
    <w:rPr>
      <w:b/>
      <w:bCs/>
      <w:sz w:val="22"/>
      <w:szCs w:val="22"/>
    </w:rPr>
  </w:style>
  <w:style w:type="paragraph" w:styleId="MdTableCell">
    <w:name w:val="MdTableCell"/>
    <w:basedOn w:val="Normal"/>
    <w:next w:val="Normal"/>
    <w:qFormat/>
    <w:pPr>
      <w:spacing w:before="40" w:after="40"/>
    </w:pPr>
    <w:rPr>
      <w:sz w:val="20"/>
      <w:szCs w:val="20"/>
    </w:rPr>
  </w:style>
  <w:style w:type="paragraph" w:styleId="MdHeading1">
    <w:name w:val="MdHeading1"/>
    <w:basedOn w:val="Normal"/>
    <w:next w:val="Normal"/>
    <w:qFormat/>
    <w:pPr>
      <w:keepNext/>
      <w:spacing w:before="480" w:after="240"/>
      <w:outlineLvl w:val="0"/>
    </w:pPr>
    <w:rPr>
      <w:b/>
      <w:bCs/>
      <w:sz w:val="36"/>
      <w:szCs w:val="36"/>
    </w:rPr>
  </w:style>
  <w:style w:type="paragraph" w:styleId="MdHeading2">
    <w:name w:val="MdHeading2"/>
    <w:basedOn w:val="Normal"/>
    <w:next w:val="Normal"/>
    <w:qFormat/>
    <w:pPr>
      <w:keepNext/>
      <w:spacing w:before="400" w:after="200"/>
      <w:outlineLvl w:val="1"/>
    </w:pPr>
    <w:rPr>
      <w:b/>
      <w:bCs/>
      <w:sz w:val="32"/>
      <w:szCs w:val="32"/>
    </w:rPr>
  </w:style>
  <w:style w:type="paragraph" w:styleId="MdHeading3">
    <w:name w:val="MdHeading3"/>
    <w:basedOn w:val="Normal"/>
    <w:next w:val="Normal"/>
    <w:qFormat/>
    <w:pPr>
      <w:keepNext/>
      <w:spacing w:before="320" w:after="160"/>
      <w:outlineLvl w:val="2"/>
    </w:pPr>
    <w:rPr>
      <w:b/>
      <w:bCs/>
      <w:sz w:val="28"/>
      <w:szCs w:val="28"/>
    </w:rPr>
  </w:style>
  <w:style w:type="paragraph" w:styleId="MdHeading4">
    <w:name w:val="MdHeading4"/>
    <w:basedOn w:val="Normal"/>
    <w:next w:val="Normal"/>
    <w:qFormat/>
    <w:pPr>
      <w:keepNext/>
      <w:spacing w:before="280" w:after="140"/>
      <w:outlineLvl w:val="3"/>
    </w:pPr>
    <w:rPr>
      <w:b/>
      <w:bCs/>
      <w:sz w:val="26"/>
      <w:szCs w:val="26"/>
    </w:rPr>
  </w:style>
  <w:style w:type="paragraph" w:styleId="MdHeading5">
    <w:name w:val="MdHeading5"/>
    <w:basedOn w:val="Normal"/>
    <w:next w:val="Normal"/>
    <w:qFormat/>
    <w:pPr>
      <w:keepNext/>
      <w:spacing w:before="240" w:after="120"/>
      <w:outlineLvl w:val="4"/>
    </w:pPr>
    <w:rPr>
      <w:b/>
      <w:bCs/>
      <w:i/>
      <w:iCs/>
      <w:sz w:val="24"/>
      <w:szCs w:val="24"/>
    </w:rPr>
  </w:style>
  <w:style w:type="paragraph" w:styleId="MdHeading6">
    <w:name w:val="MdHeading6"/>
    <w:basedOn w:val="Normal"/>
    <w:next w:val="Normal"/>
    <w:qFormat/>
    <w:pPr>
      <w:keepNext/>
      <w:spacing w:before="240" w:after="120"/>
      <w:outlineLvl w:val="5"/>
    </w:pPr>
    <w:rPr>
      <w:b w:val="false"/>
      <w:bCs w:val="false"/>
      <w:i/>
      <w:iCs/>
      <w:sz w:val="24"/>
      <w:szCs w:val="24"/>
    </w:rPr>
  </w:style>
  <w:style w:type="character" w:styleId="MdTag">
    <w:name w:val="MdTag"/>
    <w:basedOn w:val="Normal"/>
    <w:next w:val="Normal"/>
    <w:uiPriority w:val="99"/>
    <w:unhideWhenUsed/>
    <w:qFormat/>
    <w:rPr>
      <w:rFonts w:ascii="Courier New" w:cs="Courier New" w:eastAsia="Courier New" w:hAnsi="Courier New"/>
      <w:color w:val="ED7D31"/>
    </w:rPr>
  </w:style>
  <w:style w:type="character" w:styleId="MdLink">
    <w:name w:val="MdLink"/>
    <w:basedOn w:val="Normal"/>
    <w:next w:val="Normal"/>
    <w:uiPriority w:val="99"/>
    <w:unhideWhenUsed/>
    <w:qFormat/>
    <w:rPr>
      <w:color w:val="0563C1"/>
      <w:u w:val="single"/>
    </w:rPr>
  </w:style>
  <w:style w:type="character" w:styleId="MdStrong">
    <w:name w:val="MdStrong"/>
    <w:basedOn w:val="Normal"/>
    <w:next w:val="Normal"/>
    <w:uiPriority w:val="99"/>
    <w:unhideWhenUsed/>
    <w:qFormat/>
    <w:rPr>
      <w:b/>
      <w:bCs/>
    </w:rPr>
  </w:style>
  <w:style w:type="character" w:styleId="MdEm">
    <w:name w:val="MdEm"/>
    <w:basedOn w:val="Normal"/>
    <w:next w:val="Normal"/>
    <w:uiPriority w:val="99"/>
    <w:unhideWhenUsed/>
    <w:qFormat/>
    <w:rPr>
      <w:i/>
      <w:iCs/>
    </w:rPr>
  </w:style>
  <w:style w:type="character" w:styleId="MdCodespan">
    <w:name w:val="MdCodespan"/>
    <w:basedOn w:val="Normal"/>
    <w:next w:val="Normal"/>
    <w:uiPriority w:val="99"/>
    <w:unhideWhenUsed/>
    <w:qFormat/>
    <w:rPr>
      <w:rFonts w:ascii="Courier New" w:cs="Courier New" w:eastAsia="Courier New" w:hAnsi="Courier New"/>
      <w:color w:val="70AD47"/>
    </w:rPr>
  </w:style>
  <w:style w:type="character" w:styleId="MdDel">
    <w:name w:val="MdDel"/>
    <w:basedOn w:val="Normal"/>
    <w:next w:val="Normal"/>
    <w:uiPriority w:val="99"/>
    <w:unhideWhenUsed/>
    <w:qFormat/>
    <w:rPr>
      <w:strike/>
    </w:rPr>
  </w:style>
  <w:style w:type="character" w:styleId="MdBr">
    <w:name w:val="MdBr"/>
    <w:basedOn w:val="Normal"/>
    <w:next w:val="Normal"/>
    <w:uiPriority w:val="99"/>
    <w:unhideWhenUsed/>
    <w:qFormat/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9m64msyfnl1mp-nfgqx0a" Type="http://schemas.openxmlformats.org/officeDocument/2006/relationships/hyperlink" Target="https://www.jafza.ae/resource-centre/guides/terminating-your-license-at-jafza/" TargetMode="External"/><Relationship Id="rIdgjb-2khhd9fpiud5yflcz" Type="http://schemas.openxmlformats.org/officeDocument/2006/relationships/hyperlink" Target="https://dewa.gov.ae/en/consumer/supply-management/transfer-of-electricity-water-move-to" TargetMode="External"/><Relationship Id="rIdmjkesdgwt-rgemuarexf3" Type="http://schemas.openxmlformats.org/officeDocument/2006/relationships/hyperlink" Target="https://www.addc.ae/en-US/home/service-categories/transfer-removal-electric-services/Pages/removal-permanent-electricity-meter.aspx" TargetMode="External"/><Relationship Id="rIdv783pswex84e_t0tawli8" Type="http://schemas.openxmlformats.org/officeDocument/2006/relationships/hyperlink" Target="https://www.jafza.ae/resource-centre/guides/modifications-no-objection-certificate-request/" TargetMode="External"/><Relationship Id="rIdzj4k7wxrtagbfuio0o3ds" Type="http://schemas.openxmlformats.org/officeDocument/2006/relationships/hyperlink" Target="https://www.jafza.ae/resource-centre/guides/terminating-your-license-at-jafza/" TargetMode="External"/><Relationship Id="rId87bsdvr9aifgx_sxs8gly" Type="http://schemas.openxmlformats.org/officeDocument/2006/relationships/hyperlink" Target="https://u.ae/en/information-and-services/business/doing-business-in-free-zones/closing-a-business-in-a-free-zone-" TargetMode="External"/><Relationship Id="rIdvv2qymd0ti5szh1hmevs0" Type="http://schemas.openxmlformats.org/officeDocument/2006/relationships/hyperlink" Target="https://www.jafza.ae/resource-centre/guides/terminating-your-license-at-jafza/" TargetMode="External"/><Relationship Id="rIdll3kjtlxo7ohg6urdnt-s" Type="http://schemas.openxmlformats.org/officeDocument/2006/relationships/hyperlink" Target="https://www.addc.ae/en-US/home/service-categories/transfer-removal-electric-services/Pages/removal-permanent-electricity-meter.aspx" TargetMode="External"/><Relationship Id="rId14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Converted Document</dc:title>
  <dc:creator>md2docx converter</dc:creator>
  <dc:description>Converted from Markdown</dc:description>
  <cp:lastModifiedBy>Un-named</cp:lastModifiedBy>
  <cp:revision>1</cp:revision>
  <dcterms:created xsi:type="dcterms:W3CDTF">2026-08-09T07:15:03.808Z</dcterms:created>
  <dcterms:modified xsi:type="dcterms:W3CDTF">2026-08-09T07:15:03.808Z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