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Winter / Rain Season Readiness Checklist - 100 Points (Site Issue Copy)</w:t>
      </w:r>
    </w:p>
    <w:p>
      <w:r>
        <w:rPr>
          <w:i/>
          <w:sz w:val="19"/>
        </w:rPr>
        <w:t>UAE construction sites  |  Issue, complete and sign this copy for the site file. The editable Excel workbook is the master version.</w:t>
      </w:r>
    </w:p>
    <w:tbl>
      <w:tblPr>
        <w:tblStyle w:val="TableGrid"/>
        <w:tblW w:type="auto" w:w="0"/>
        <w:tblLook w:firstColumn="1" w:firstRow="1" w:lastColumn="0" w:lastRow="0" w:noHBand="0" w:noVBand="1" w:val="04A0"/>
      </w:tblPr>
      <w:tblGrid>
        <w:gridCol w:w="15250"/>
      </w:tblGrid>
      <w:tr>
        <w:tc>
          <w:tcPr>
            <w:tcW w:type="dxa" w:w="15250"/>
            <w:shd w:val="clear" w:color="auto" w:fill="FFF4E0"/>
          </w:tcPr>
          <w:p>
            <w:r/>
            <w:r>
              <w:rPr>
                <w:b/>
                <w:color w:val="9C5700"/>
                <w:sz w:val="17"/>
              </w:rPr>
              <w:t>DISCLAIMER - USE AS A GUIDE ONLY. This checklist is a general starting point for preparing a UAE construction site for rain and the winter season. Every site is different: some items will not apply to your project, and your site may require additional items that are not listed here. Use it to help you get started and prepared, then adapt it to your own scope, location, permits, approved designs and risk assessment, and have it reviewed by a competent person. It does not replace UAE federal, emirate, free-zone or utility requirements, permit conditions, approved designs, Civil Defence directions, manufacturer instructions or professional advice. Always confirm current requirements with the relevant authority before relying on any item.</w:t>
            </w:r>
          </w:p>
        </w:tc>
      </w:tr>
    </w:tbl>
    <w:p/>
    <w:tbl>
      <w:tblPr>
        <w:tblStyle w:val="TableGrid"/>
        <w:tblW w:type="auto" w:w="0"/>
        <w:jc w:val="center"/>
        <w:tblLook w:firstColumn="1" w:firstRow="1" w:lastColumn="0" w:lastRow="0" w:noHBand="0" w:noVBand="1" w:val="04A0"/>
        <w:tblLayout w:type="fixed"/>
      </w:tblPr>
      <w:tblGrid>
        <w:gridCol w:w="3969"/>
        <w:gridCol w:w="10490"/>
      </w:tblGrid>
      <w:tr>
        <w:trPr>
          <w:cantSplit/>
        </w:trPr>
        <w:tc>
          <w:tcPr>
            <w:tcW w:type="dxa" w:w="3969"/>
            <w:shd w:val="clear" w:color="auto" w:fill="126E6E"/>
          </w:tcPr>
          <w:p>
            <w:r/>
            <w:r>
              <w:rPr>
                <w:b/>
                <w:color w:val="FFFFFF"/>
                <w:sz w:val="18"/>
              </w:rPr>
              <w:t>Field</w:t>
            </w:r>
          </w:p>
        </w:tc>
        <w:tc>
          <w:tcPr>
            <w:tcW w:type="dxa" w:w="10488"/>
            <w:shd w:val="clear" w:color="auto" w:fill="126E6E"/>
          </w:tcPr>
          <w:p>
            <w:r/>
            <w:r>
              <w:rPr>
                <w:b/>
                <w:color w:val="FFFFFF"/>
                <w:sz w:val="18"/>
              </w:rPr>
              <w:t>Entry</w:t>
            </w:r>
          </w:p>
        </w:tc>
      </w:tr>
      <w:tr>
        <w:trPr>
          <w:cantSplit/>
        </w:trPr>
        <w:tc>
          <w:tcPr>
            <w:tcW w:type="dxa" w:w="3969"/>
          </w:tcPr>
          <w:p>
            <w:r/>
            <w:r>
              <w:rPr>
                <w:sz w:val="18"/>
              </w:rPr>
              <w:t>Project / contract name</w:t>
            </w:r>
          </w:p>
        </w:tc>
        <w:tc>
          <w:tcPr>
            <w:tcW w:type="dxa" w:w="10488"/>
          </w:tcPr>
          <w:p>
            <w:r/>
            <w:r>
              <w:rPr>
                <w:sz w:val="18"/>
              </w:rPr>
            </w:r>
          </w:p>
        </w:tc>
      </w:tr>
      <w:tr>
        <w:trPr>
          <w:cantSplit/>
        </w:trPr>
        <w:tc>
          <w:tcPr>
            <w:tcW w:type="dxa" w:w="3969"/>
            <w:shd w:val="clear" w:color="auto" w:fill="F2F6FA"/>
          </w:tcPr>
          <w:p>
            <w:r/>
            <w:r>
              <w:rPr>
                <w:sz w:val="18"/>
              </w:rPr>
              <w:t>Project number</w:t>
            </w:r>
          </w:p>
        </w:tc>
        <w:tc>
          <w:tcPr>
            <w:tcW w:type="dxa" w:w="10488"/>
            <w:shd w:val="clear" w:color="auto" w:fill="F2F6FA"/>
          </w:tcPr>
          <w:p>
            <w:r/>
            <w:r>
              <w:rPr>
                <w:sz w:val="18"/>
              </w:rPr>
            </w:r>
          </w:p>
        </w:tc>
      </w:tr>
      <w:tr>
        <w:trPr>
          <w:cantSplit/>
        </w:trPr>
        <w:tc>
          <w:tcPr>
            <w:tcW w:type="dxa" w:w="3969"/>
          </w:tcPr>
          <w:p>
            <w:r/>
            <w:r>
              <w:rPr>
                <w:sz w:val="18"/>
              </w:rPr>
              <w:t>Emirate and municipality / jurisdiction</w:t>
            </w:r>
          </w:p>
        </w:tc>
        <w:tc>
          <w:tcPr>
            <w:tcW w:type="dxa" w:w="10488"/>
          </w:tcPr>
          <w:p>
            <w:r/>
            <w:r>
              <w:rPr>
                <w:sz w:val="18"/>
              </w:rPr>
            </w:r>
          </w:p>
        </w:tc>
      </w:tr>
      <w:tr>
        <w:trPr>
          <w:cantSplit/>
        </w:trPr>
        <w:tc>
          <w:tcPr>
            <w:tcW w:type="dxa" w:w="3969"/>
            <w:shd w:val="clear" w:color="auto" w:fill="F2F6FA"/>
          </w:tcPr>
          <w:p>
            <w:r/>
            <w:r>
              <w:rPr>
                <w:sz w:val="18"/>
              </w:rPr>
              <w:t>Free zone or special jurisdiction</w:t>
            </w:r>
          </w:p>
        </w:tc>
        <w:tc>
          <w:tcPr>
            <w:tcW w:type="dxa" w:w="10488"/>
            <w:shd w:val="clear" w:color="auto" w:fill="F2F6FA"/>
          </w:tcPr>
          <w:p>
            <w:r/>
            <w:r>
              <w:rPr>
                <w:sz w:val="18"/>
              </w:rPr>
            </w:r>
          </w:p>
        </w:tc>
      </w:tr>
      <w:tr>
        <w:trPr>
          <w:cantSplit/>
        </w:trPr>
        <w:tc>
          <w:tcPr>
            <w:tcW w:type="dxa" w:w="3969"/>
          </w:tcPr>
          <w:p>
            <w:r/>
            <w:r>
              <w:rPr>
                <w:sz w:val="18"/>
              </w:rPr>
              <w:t>Site location, plot and coordinates (Makani / GPS)</w:t>
            </w:r>
          </w:p>
        </w:tc>
        <w:tc>
          <w:tcPr>
            <w:tcW w:type="dxa" w:w="10488"/>
          </w:tcPr>
          <w:p>
            <w:r/>
            <w:r>
              <w:rPr>
                <w:sz w:val="18"/>
              </w:rPr>
            </w:r>
          </w:p>
        </w:tc>
      </w:tr>
      <w:tr>
        <w:trPr>
          <w:cantSplit/>
        </w:trPr>
        <w:tc>
          <w:tcPr>
            <w:tcW w:type="dxa" w:w="3969"/>
            <w:shd w:val="clear" w:color="auto" w:fill="F2F6FA"/>
          </w:tcPr>
          <w:p>
            <w:r/>
            <w:r>
              <w:rPr>
                <w:sz w:val="18"/>
              </w:rPr>
              <w:t>Site manager / mobile</w:t>
            </w:r>
          </w:p>
        </w:tc>
        <w:tc>
          <w:tcPr>
            <w:tcW w:type="dxa" w:w="10488"/>
            <w:shd w:val="clear" w:color="auto" w:fill="F2F6FA"/>
          </w:tcPr>
          <w:p>
            <w:r/>
            <w:r>
              <w:rPr>
                <w:sz w:val="18"/>
              </w:rPr>
            </w:r>
          </w:p>
        </w:tc>
      </w:tr>
      <w:tr>
        <w:trPr>
          <w:cantSplit/>
        </w:trPr>
        <w:tc>
          <w:tcPr>
            <w:tcW w:type="dxa" w:w="3969"/>
          </w:tcPr>
          <w:p>
            <w:r/>
            <w:r>
              <w:rPr>
                <w:sz w:val="18"/>
              </w:rPr>
              <w:t>HSE manager / mobile</w:t>
            </w:r>
          </w:p>
        </w:tc>
        <w:tc>
          <w:tcPr>
            <w:tcW w:type="dxa" w:w="10488"/>
          </w:tcPr>
          <w:p>
            <w:r/>
            <w:r>
              <w:rPr>
                <w:sz w:val="18"/>
              </w:rPr>
            </w:r>
          </w:p>
        </w:tc>
      </w:tr>
      <w:tr>
        <w:trPr>
          <w:cantSplit/>
        </w:trPr>
        <w:tc>
          <w:tcPr>
            <w:tcW w:type="dxa" w:w="3969"/>
            <w:shd w:val="clear" w:color="auto" w:fill="F2F6FA"/>
          </w:tcPr>
          <w:p>
            <w:r/>
            <w:r>
              <w:rPr>
                <w:sz w:val="18"/>
              </w:rPr>
              <w:t>Weather controller / mobile</w:t>
            </w:r>
          </w:p>
        </w:tc>
        <w:tc>
          <w:tcPr>
            <w:tcW w:type="dxa" w:w="10488"/>
            <w:shd w:val="clear" w:color="auto" w:fill="F2F6FA"/>
          </w:tcPr>
          <w:p>
            <w:r/>
            <w:r>
              <w:rPr>
                <w:sz w:val="18"/>
              </w:rPr>
            </w:r>
          </w:p>
        </w:tc>
      </w:tr>
      <w:tr>
        <w:trPr>
          <w:cantSplit/>
        </w:trPr>
        <w:tc>
          <w:tcPr>
            <w:tcW w:type="dxa" w:w="3969"/>
          </w:tcPr>
          <w:p>
            <w:r/>
            <w:r>
              <w:rPr>
                <w:sz w:val="18"/>
              </w:rPr>
              <w:t>Dewatering permit / NOC no. and expiry</w:t>
            </w:r>
          </w:p>
        </w:tc>
        <w:tc>
          <w:tcPr>
            <w:tcW w:type="dxa" w:w="10488"/>
          </w:tcPr>
          <w:p>
            <w:r/>
            <w:r>
              <w:rPr>
                <w:sz w:val="18"/>
              </w:rPr>
            </w:r>
          </w:p>
        </w:tc>
      </w:tr>
      <w:tr>
        <w:trPr>
          <w:cantSplit/>
        </w:trPr>
        <w:tc>
          <w:tcPr>
            <w:tcW w:type="dxa" w:w="3969"/>
            <w:shd w:val="clear" w:color="auto" w:fill="F2F6FA"/>
          </w:tcPr>
          <w:p>
            <w:r/>
            <w:r>
              <w:rPr>
                <w:sz w:val="18"/>
              </w:rPr>
              <w:t>Environmental clearance no. and expiry</w:t>
            </w:r>
          </w:p>
        </w:tc>
        <w:tc>
          <w:tcPr>
            <w:tcW w:type="dxa" w:w="10488"/>
            <w:shd w:val="clear" w:color="auto" w:fill="F2F6FA"/>
          </w:tcPr>
          <w:p>
            <w:r/>
            <w:r>
              <w:rPr>
                <w:sz w:val="18"/>
              </w:rPr>
            </w:r>
          </w:p>
        </w:tc>
      </w:tr>
      <w:tr>
        <w:trPr>
          <w:cantSplit/>
        </w:trPr>
        <w:tc>
          <w:tcPr>
            <w:tcW w:type="dxa" w:w="3969"/>
          </w:tcPr>
          <w:p>
            <w:r/>
            <w:r>
              <w:rPr>
                <w:sz w:val="18"/>
              </w:rPr>
              <w:t>Approved discharge point(s)</w:t>
            </w:r>
          </w:p>
        </w:tc>
        <w:tc>
          <w:tcPr>
            <w:tcW w:type="dxa" w:w="10488"/>
          </w:tcPr>
          <w:p>
            <w:r/>
            <w:r>
              <w:rPr>
                <w:sz w:val="18"/>
              </w:rPr>
            </w:r>
          </w:p>
        </w:tc>
      </w:tr>
      <w:tr>
        <w:trPr>
          <w:cantSplit/>
        </w:trPr>
        <w:tc>
          <w:tcPr>
            <w:tcW w:type="dxa" w:w="3969"/>
            <w:shd w:val="clear" w:color="auto" w:fill="F2F6FA"/>
          </w:tcPr>
          <w:p>
            <w:r/>
            <w:r>
              <w:rPr>
                <w:sz w:val="18"/>
              </w:rPr>
              <w:t>Prepared by / date / revision</w:t>
            </w:r>
          </w:p>
        </w:tc>
        <w:tc>
          <w:tcPr>
            <w:tcW w:type="dxa" w:w="10488"/>
            <w:shd w:val="clear" w:color="auto" w:fill="F2F6FA"/>
          </w:tcPr>
          <w:p>
            <w:r/>
            <w:r>
              <w:rPr>
                <w:sz w:val="18"/>
              </w:rPr>
            </w:r>
          </w:p>
        </w:tc>
      </w:tr>
    </w:tbl>
    <w:p>
      <w:r>
        <w:br w:type="page"/>
      </w:r>
    </w:p>
    <w:tbl>
      <w:tblPr>
        <w:tblStyle w:val="TableGrid"/>
        <w:tblW w:type="auto" w:w="0"/>
        <w:jc w:val="center"/>
        <w:tblLook w:firstColumn="1" w:firstRow="1" w:lastColumn="0" w:lastRow="0" w:noHBand="0" w:noVBand="1" w:val="04A0"/>
        <w:tblLayout w:type="fixed"/>
      </w:tblPr>
      <w:tblGrid>
        <w:gridCol w:w="2835"/>
        <w:gridCol w:w="11624"/>
      </w:tblGrid>
      <w:tr>
        <w:trPr>
          <w:cantSplit/>
        </w:trPr>
        <w:tc>
          <w:tcPr>
            <w:tcW w:type="dxa" w:w="2835"/>
            <w:shd w:val="clear" w:color="auto" w:fill="126E6E"/>
          </w:tcPr>
          <w:p>
            <w:r/>
            <w:r>
              <w:rPr>
                <w:b/>
                <w:color w:val="FFFFFF"/>
                <w:sz w:val="18"/>
              </w:rPr>
              <w:t>How to use this copy</w:t>
            </w:r>
          </w:p>
        </w:tc>
        <w:tc>
          <w:tcPr>
            <w:tcW w:type="dxa" w:w="11622"/>
            <w:shd w:val="clear" w:color="auto" w:fill="126E6E"/>
          </w:tcPr>
          <w:p>
            <w:r/>
            <w:r>
              <w:rPr>
                <w:b/>
                <w:color w:val="FFFFFF"/>
                <w:sz w:val="18"/>
              </w:rPr>
              <w:t>Detail</w:t>
            </w:r>
          </w:p>
        </w:tc>
      </w:tr>
      <w:tr>
        <w:trPr>
          <w:cantSplit/>
        </w:trPr>
        <w:tc>
          <w:tcPr>
            <w:tcW w:type="dxa" w:w="2835"/>
          </w:tcPr>
          <w:p>
            <w:r/>
            <w:r>
              <w:rPr>
                <w:sz w:val="18"/>
              </w:rPr>
              <w:t>1. Adapt before you audit</w:t>
            </w:r>
          </w:p>
        </w:tc>
        <w:tc>
          <w:tcPr>
            <w:tcW w:type="dxa" w:w="11622"/>
          </w:tcPr>
          <w:p>
            <w:r/>
            <w:r>
              <w:rPr>
                <w:sz w:val="18"/>
              </w:rPr>
              <w:t>Delete or mark N/A any item that does not apply, and add any site-specific item that is missing. The list is a guide, not a closed set.</w:t>
            </w:r>
          </w:p>
        </w:tc>
      </w:tr>
      <w:tr>
        <w:trPr>
          <w:cantSplit/>
        </w:trPr>
        <w:tc>
          <w:tcPr>
            <w:tcW w:type="dxa" w:w="2835"/>
            <w:shd w:val="clear" w:color="auto" w:fill="F2F6FA"/>
          </w:tcPr>
          <w:p>
            <w:r/>
            <w:r>
              <w:rPr>
                <w:sz w:val="18"/>
              </w:rPr>
              <w:t>2. Assign an owner</w:t>
            </w:r>
          </w:p>
        </w:tc>
        <w:tc>
          <w:tcPr>
            <w:tcW w:type="dxa" w:w="11622"/>
            <w:shd w:val="clear" w:color="auto" w:fill="F2F6FA"/>
          </w:tcPr>
          <w:p>
            <w:r/>
            <w:r>
              <w:rPr>
                <w:sz w:val="18"/>
              </w:rPr>
              <w:t>Every item needs a named responsible person and a target date. Use the Excel workbook to allocate owners and track status.</w:t>
            </w:r>
          </w:p>
        </w:tc>
      </w:tr>
      <w:tr>
        <w:trPr>
          <w:cantSplit/>
        </w:trPr>
        <w:tc>
          <w:tcPr>
            <w:tcW w:type="dxa" w:w="2835"/>
          </w:tcPr>
          <w:p>
            <w:r/>
            <w:r>
              <w:rPr>
                <w:sz w:val="18"/>
              </w:rPr>
              <w:t>3. Record evidence</w:t>
            </w:r>
          </w:p>
        </w:tc>
        <w:tc>
          <w:tcPr>
            <w:tcW w:type="dxa" w:w="11622"/>
          </w:tcPr>
          <w:p>
            <w:r/>
            <w:r>
              <w:rPr>
                <w:sz w:val="18"/>
              </w:rPr>
              <w:t>For each completed item, write the evidence reference (record, certificate, permit, photograph or register) in the Evidence column.</w:t>
            </w:r>
          </w:p>
        </w:tc>
      </w:tr>
      <w:tr>
        <w:trPr>
          <w:cantSplit/>
        </w:trPr>
        <w:tc>
          <w:tcPr>
            <w:tcW w:type="dxa" w:w="2835"/>
            <w:shd w:val="clear" w:color="auto" w:fill="F2F6FA"/>
          </w:tcPr>
          <w:p>
            <w:r/>
            <w:r>
              <w:rPr>
                <w:sz w:val="18"/>
              </w:rPr>
              <w:t>4. Verify before the season</w:t>
            </w:r>
          </w:p>
        </w:tc>
        <w:tc>
          <w:tcPr>
            <w:tcW w:type="dxa" w:w="11622"/>
            <w:shd w:val="clear" w:color="auto" w:fill="F2F6FA"/>
          </w:tcPr>
          <w:p>
            <w:r/>
            <w:r>
              <w:rPr>
                <w:sz w:val="18"/>
              </w:rPr>
              <w:t>Have the completed checklist reviewed and signed by the site manager, HSE manager and, where relevant, the temporary works coordinator.</w:t>
            </w:r>
          </w:p>
        </w:tc>
      </w:tr>
      <w:tr>
        <w:trPr>
          <w:cantSplit/>
        </w:trPr>
        <w:tc>
          <w:tcPr>
            <w:tcW w:type="dxa" w:w="2835"/>
          </w:tcPr>
          <w:p>
            <w:r/>
            <w:r>
              <w:rPr>
                <w:sz w:val="18"/>
              </w:rPr>
              <w:t>5. Re-verify after every event</w:t>
            </w:r>
          </w:p>
        </w:tc>
        <w:tc>
          <w:tcPr>
            <w:tcW w:type="dxa" w:w="11622"/>
          </w:tcPr>
          <w:p>
            <w:r/>
            <w:r>
              <w:rPr>
                <w:sz w:val="18"/>
              </w:rPr>
              <w:t>Re-check the applicable items after any significant rain or flood event before restarting affected activities.</w:t>
            </w:r>
          </w:p>
        </w:tc>
      </w:tr>
    </w:tbl>
    <w:p>
      <w:r>
        <w:br w:type="page"/>
      </w:r>
    </w:p>
    <w:p>
      <w:pPr>
        <w:pStyle w:val="Heading2"/>
      </w:pPr>
      <w:r>
        <w:t>A. Governance, Weather Monitoring &amp; Competence</w:t>
      </w:r>
    </w:p>
    <w:tbl>
      <w:tblPr>
        <w:tblStyle w:val="TableGrid"/>
        <w:tblW w:type="auto" w:w="0"/>
        <w:jc w:val="center"/>
        <w:tblLook w:firstColumn="1" w:firstRow="1" w:lastColumn="0" w:lastRow="0" w:noHBand="0" w:noVBand="1" w:val="04A0"/>
        <w:tblLayout w:type="fixed"/>
      </w:tblPr>
      <w:tblGrid>
        <w:gridCol w:w="510"/>
        <w:gridCol w:w="3742"/>
        <w:gridCol w:w="3062"/>
        <w:gridCol w:w="2381"/>
        <w:gridCol w:w="1191"/>
        <w:gridCol w:w="907"/>
        <w:gridCol w:w="1134"/>
        <w:gridCol w:w="1814"/>
      </w:tblGrid>
      <w:tr>
        <w:trPr>
          <w:cantSplit/>
        </w:trPr>
        <w:tc>
          <w:tcPr>
            <w:tcW w:type="dxa" w:w="510"/>
            <w:shd w:val="clear" w:color="auto" w:fill="126E6E"/>
          </w:tcPr>
          <w:p>
            <w:r/>
            <w:r>
              <w:rPr>
                <w:b/>
                <w:color w:val="FFFFFF"/>
                <w:sz w:val="15"/>
              </w:rPr>
              <w:t>#</w:t>
            </w:r>
          </w:p>
        </w:tc>
        <w:tc>
          <w:tcPr>
            <w:tcW w:type="dxa" w:w="3742"/>
            <w:shd w:val="clear" w:color="auto" w:fill="126E6E"/>
          </w:tcPr>
          <w:p>
            <w:r/>
            <w:r>
              <w:rPr>
                <w:b/>
                <w:color w:val="FFFFFF"/>
                <w:sz w:val="15"/>
              </w:rPr>
              <w:t>Check item</w:t>
            </w:r>
          </w:p>
        </w:tc>
        <w:tc>
          <w:tcPr>
            <w:tcW w:type="dxa" w:w="3061"/>
            <w:shd w:val="clear" w:color="auto" w:fill="126E6E"/>
          </w:tcPr>
          <w:p>
            <w:r/>
            <w:r>
              <w:rPr>
                <w:b/>
                <w:color w:val="FFFFFF"/>
                <w:sz w:val="15"/>
              </w:rPr>
              <w:t>Why it matters (risk)</w:t>
            </w:r>
          </w:p>
        </w:tc>
        <w:tc>
          <w:tcPr>
            <w:tcW w:type="dxa" w:w="2381"/>
            <w:shd w:val="clear" w:color="auto" w:fill="126E6E"/>
          </w:tcPr>
          <w:p>
            <w:r/>
            <w:r>
              <w:rPr>
                <w:b/>
                <w:color w:val="FFFFFF"/>
                <w:sz w:val="15"/>
              </w:rPr>
              <w:t>Authority / source reference</w:t>
            </w:r>
          </w:p>
        </w:tc>
        <w:tc>
          <w:tcPr>
            <w:tcW w:type="dxa" w:w="1191"/>
            <w:shd w:val="clear" w:color="auto" w:fill="126E6E"/>
          </w:tcPr>
          <w:p>
            <w:r/>
            <w:r>
              <w:rPr>
                <w:b/>
                <w:color w:val="FFFFFF"/>
                <w:sz w:val="15"/>
              </w:rPr>
              <w:t>Applies to</w:t>
            </w:r>
          </w:p>
        </w:tc>
        <w:tc>
          <w:tcPr>
            <w:tcW w:type="dxa" w:w="907"/>
            <w:shd w:val="clear" w:color="auto" w:fill="126E6E"/>
          </w:tcPr>
          <w:p>
            <w:r/>
            <w:r>
              <w:rPr>
                <w:b/>
                <w:color w:val="FFFFFF"/>
                <w:sz w:val="15"/>
              </w:rPr>
              <w:t>Priority</w:t>
            </w:r>
          </w:p>
        </w:tc>
        <w:tc>
          <w:tcPr>
            <w:tcW w:type="dxa" w:w="1134"/>
            <w:shd w:val="clear" w:color="auto" w:fill="126E6E"/>
          </w:tcPr>
          <w:p>
            <w:r/>
            <w:r>
              <w:rPr>
                <w:b/>
                <w:color w:val="FFFFFF"/>
                <w:sz w:val="15"/>
              </w:rPr>
              <w:t>Status / initials</w:t>
            </w:r>
          </w:p>
        </w:tc>
        <w:tc>
          <w:tcPr>
            <w:tcW w:type="dxa" w:w="1814"/>
            <w:shd w:val="clear" w:color="auto" w:fill="126E6E"/>
          </w:tcPr>
          <w:p>
            <w:r/>
            <w:r>
              <w:rPr>
                <w:b/>
                <w:color w:val="FFFFFF"/>
                <w:sz w:val="15"/>
              </w:rPr>
              <w:t>Evidence reference</w:t>
            </w:r>
          </w:p>
        </w:tc>
      </w:tr>
      <w:tr>
        <w:trPr>
          <w:cantSplit/>
        </w:trPr>
        <w:tc>
          <w:tcPr>
            <w:tcW w:type="dxa" w:w="510"/>
          </w:tcPr>
          <w:p>
            <w:r/>
            <w:r>
              <w:rPr>
                <w:sz w:val="15"/>
              </w:rPr>
              <w:t>1</w:t>
            </w:r>
          </w:p>
        </w:tc>
        <w:tc>
          <w:tcPr>
            <w:tcW w:type="dxa" w:w="3742"/>
          </w:tcPr>
          <w:p>
            <w:r/>
            <w:r>
              <w:rPr>
                <w:sz w:val="15"/>
              </w:rPr>
              <w:t>Appoint a named weather controller and a deputy for every shift, including night shift, with written authority to escalate and stop work.</w:t>
            </w:r>
          </w:p>
        </w:tc>
        <w:tc>
          <w:tcPr>
            <w:tcW w:type="dxa" w:w="3061"/>
          </w:tcPr>
          <w:p>
            <w:r/>
            <w:r>
              <w:rPr>
                <w:sz w:val="15"/>
              </w:rPr>
              <w:t>Creates one accountable decision route instead of informal phone-app monitoring.</w:t>
            </w:r>
          </w:p>
        </w:tc>
        <w:tc>
          <w:tcPr>
            <w:tcW w:type="dxa" w:w="2381"/>
          </w:tcPr>
          <w:p>
            <w:r/>
            <w:r>
              <w:rPr>
                <w:sz w:val="15"/>
              </w:rPr>
              <w:t>NCM [F1]; NCEMA [F2]</w:t>
            </w:r>
          </w:p>
        </w:tc>
        <w:tc>
          <w:tcPr>
            <w:tcW w:type="dxa" w:w="1191"/>
          </w:tcPr>
          <w:p>
            <w:r/>
            <w:r>
              <w:rPr>
                <w:sz w:val="15"/>
              </w:rPr>
              <w:t>All UAE</w:t>
            </w:r>
          </w:p>
        </w:tc>
        <w:tc>
          <w:tcPr>
            <w:tcW w:type="dxa" w:w="907"/>
          </w:tcPr>
          <w:p>
            <w:r/>
            <w:r>
              <w:rPr>
                <w:sz w:val="15"/>
              </w:rPr>
              <w:t>Critical</w:t>
            </w:r>
          </w:p>
        </w:tc>
        <w:tc>
          <w:tcPr>
            <w:tcW w:type="dxa" w:w="1134"/>
          </w:tcPr>
          <w:p>
            <w:r/>
            <w:r>
              <w:rPr>
                <w:sz w:val="15"/>
              </w:rPr>
            </w:r>
          </w:p>
        </w:tc>
        <w:tc>
          <w:tcPr>
            <w:tcW w:type="dxa" w:w="1814"/>
          </w:tcPr>
          <w:p>
            <w:r/>
            <w:r>
              <w:rPr>
                <w:sz w:val="15"/>
              </w:rPr>
            </w:r>
          </w:p>
        </w:tc>
      </w:tr>
      <w:tr>
        <w:trPr>
          <w:cantSplit/>
        </w:trPr>
        <w:tc>
          <w:tcPr>
            <w:tcW w:type="dxa" w:w="510"/>
            <w:shd w:val="clear" w:color="auto" w:fill="F2F6FA"/>
          </w:tcPr>
          <w:p>
            <w:r/>
            <w:r>
              <w:rPr>
                <w:sz w:val="15"/>
              </w:rPr>
              <w:t>2</w:t>
            </w:r>
          </w:p>
        </w:tc>
        <w:tc>
          <w:tcPr>
            <w:tcW w:type="dxa" w:w="3742"/>
            <w:shd w:val="clear" w:color="auto" w:fill="F2F6FA"/>
          </w:tcPr>
          <w:p>
            <w:r/>
            <w:r>
              <w:rPr>
                <w:sz w:val="15"/>
              </w:rPr>
              <w:t>Log the NCM project-area forecast, warning colour, exact hazard wording, issue time and validity at every defined check (shift start, every four hours and before high-risk work).</w:t>
            </w:r>
          </w:p>
        </w:tc>
        <w:tc>
          <w:tcPr>
            <w:tcW w:type="dxa" w:w="3061"/>
            <w:shd w:val="clear" w:color="auto" w:fill="F2F6FA"/>
          </w:tcPr>
          <w:p>
            <w:r/>
            <w:r>
              <w:rPr>
                <w:sz w:val="15"/>
              </w:rPr>
              <w:t>No verified construction-specific meaning attaches to a colour alone, so the exact warning must be auditable.</w:t>
            </w:r>
          </w:p>
        </w:tc>
        <w:tc>
          <w:tcPr>
            <w:tcW w:type="dxa" w:w="2381"/>
            <w:shd w:val="clear" w:color="auto" w:fill="F2F6FA"/>
          </w:tcPr>
          <w:p>
            <w:r/>
            <w:r>
              <w:rPr>
                <w:sz w:val="15"/>
              </w:rPr>
              <w:t>NCM [F1]</w:t>
            </w:r>
          </w:p>
        </w:tc>
        <w:tc>
          <w:tcPr>
            <w:tcW w:type="dxa" w:w="1191"/>
            <w:shd w:val="clear" w:color="auto" w:fill="F2F6FA"/>
          </w:tcPr>
          <w:p>
            <w:r/>
            <w:r>
              <w:rPr>
                <w:sz w:val="15"/>
              </w:rPr>
              <w:t>All UAE</w:t>
            </w:r>
          </w:p>
        </w:tc>
        <w:tc>
          <w:tcPr>
            <w:tcW w:type="dxa" w:w="907"/>
            <w:shd w:val="clear" w:color="auto" w:fill="F2F6FA"/>
          </w:tcPr>
          <w:p>
            <w:r/>
            <w:r>
              <w:rPr>
                <w:sz w:val="15"/>
              </w:rPr>
              <w:t>Critical</w:t>
            </w:r>
          </w:p>
        </w:tc>
        <w:tc>
          <w:tcPr>
            <w:tcW w:type="dxa" w:w="1134"/>
            <w:shd w:val="clear" w:color="auto" w:fill="F2F6FA"/>
          </w:tcPr>
          <w:p>
            <w:r/>
            <w:r>
              <w:rPr>
                <w:sz w:val="15"/>
              </w:rPr>
            </w:r>
          </w:p>
        </w:tc>
        <w:tc>
          <w:tcPr>
            <w:tcW w:type="dxa" w:w="1814"/>
            <w:shd w:val="clear" w:color="auto" w:fill="F2F6FA"/>
          </w:tcPr>
          <w:p>
            <w:r/>
            <w:r>
              <w:rPr>
                <w:sz w:val="15"/>
              </w:rPr>
            </w:r>
          </w:p>
        </w:tc>
      </w:tr>
      <w:tr>
        <w:trPr>
          <w:cantSplit/>
        </w:trPr>
        <w:tc>
          <w:tcPr>
            <w:tcW w:type="dxa" w:w="510"/>
          </w:tcPr>
          <w:p>
            <w:r/>
            <w:r>
              <w:rPr>
                <w:sz w:val="15"/>
              </w:rPr>
              <w:t>3</w:t>
            </w:r>
          </w:p>
        </w:tc>
        <w:tc>
          <w:tcPr>
            <w:tcW w:type="dxa" w:w="3742"/>
          </w:tcPr>
          <w:p>
            <w:r/>
            <w:r>
              <w:rPr>
                <w:sz w:val="15"/>
              </w:rPr>
              <w:t>Subscribe the incident commander to the NCEMA National Early Warning System and to emirate, utility and Civil Defence channels, and retain the alerts.</w:t>
            </w:r>
          </w:p>
        </w:tc>
        <w:tc>
          <w:tcPr>
            <w:tcW w:type="dxa" w:w="3061"/>
          </w:tcPr>
          <w:p>
            <w:r/>
            <w:r>
              <w:rPr>
                <w:sz w:val="15"/>
              </w:rPr>
              <w:t>National and local alerts may carry evacuation, access or closure directions beyond a forecast.</w:t>
            </w:r>
          </w:p>
        </w:tc>
        <w:tc>
          <w:tcPr>
            <w:tcW w:type="dxa" w:w="2381"/>
          </w:tcPr>
          <w:p>
            <w:r/>
            <w:r>
              <w:rPr>
                <w:sz w:val="15"/>
              </w:rPr>
              <w:t>NCEMA [F2]; Civil Defence Decree-Law 35/2024 [F5]; UAE emergency guidance [F12]</w:t>
            </w:r>
          </w:p>
        </w:tc>
        <w:tc>
          <w:tcPr>
            <w:tcW w:type="dxa" w:w="1191"/>
          </w:tcPr>
          <w:p>
            <w:r/>
            <w:r>
              <w:rPr>
                <w:sz w:val="15"/>
              </w:rPr>
              <w:t>All UAE</w:t>
            </w:r>
          </w:p>
        </w:tc>
        <w:tc>
          <w:tcPr>
            <w:tcW w:type="dxa" w:w="907"/>
          </w:tcPr>
          <w:p>
            <w:r/>
            <w:r>
              <w:rPr>
                <w:sz w:val="15"/>
              </w:rPr>
              <w:t>High</w:t>
            </w:r>
          </w:p>
        </w:tc>
        <w:tc>
          <w:tcPr>
            <w:tcW w:type="dxa" w:w="1134"/>
          </w:tcPr>
          <w:p>
            <w:r/>
            <w:r>
              <w:rPr>
                <w:sz w:val="15"/>
              </w:rPr>
            </w:r>
          </w:p>
        </w:tc>
        <w:tc>
          <w:tcPr>
            <w:tcW w:type="dxa" w:w="1814"/>
          </w:tcPr>
          <w:p>
            <w:r/>
            <w:r>
              <w:rPr>
                <w:sz w:val="15"/>
              </w:rPr>
            </w:r>
          </w:p>
        </w:tc>
      </w:tr>
      <w:tr>
        <w:trPr>
          <w:cantSplit/>
        </w:trPr>
        <w:tc>
          <w:tcPr>
            <w:tcW w:type="dxa" w:w="510"/>
            <w:shd w:val="clear" w:color="auto" w:fill="F2F6FA"/>
          </w:tcPr>
          <w:p>
            <w:r/>
            <w:r>
              <w:rPr>
                <w:sz w:val="15"/>
              </w:rPr>
              <w:t>4</w:t>
            </w:r>
          </w:p>
        </w:tc>
        <w:tc>
          <w:tcPr>
            <w:tcW w:type="dxa" w:w="3742"/>
            <w:shd w:val="clear" w:color="auto" w:fill="F2F6FA"/>
          </w:tcPr>
          <w:p>
            <w:r/>
            <w:r>
              <w:rPr>
                <w:sz w:val="15"/>
              </w:rPr>
              <w:t>Adopt a written alert matrix: yellow = heightened checks; orange = activate the weather plan and reassess exposed work; red = stop or evacuate exposed work as conditions and official directions require. Label it a project control, not an official NCM definition.</w:t>
            </w:r>
          </w:p>
        </w:tc>
        <w:tc>
          <w:tcPr>
            <w:tcW w:type="dxa" w:w="3061"/>
            <w:shd w:val="clear" w:color="auto" w:fill="F2F6FA"/>
          </w:tcPr>
          <w:p>
            <w:r/>
            <w:r>
              <w:rPr>
                <w:sz w:val="15"/>
              </w:rPr>
              <w:t>Delivers conservative, documented action without inventing official thresholds.</w:t>
            </w:r>
          </w:p>
        </w:tc>
        <w:tc>
          <w:tcPr>
            <w:tcW w:type="dxa" w:w="2381"/>
            <w:shd w:val="clear" w:color="auto" w:fill="F2F6FA"/>
          </w:tcPr>
          <w:p>
            <w:r/>
            <w:r>
              <w:rPr>
                <w:sz w:val="15"/>
              </w:rPr>
              <w:t>NCM [F1]; NCEMA [F2]; project risk assessment</w:t>
            </w:r>
          </w:p>
        </w:tc>
        <w:tc>
          <w:tcPr>
            <w:tcW w:type="dxa" w:w="1191"/>
            <w:shd w:val="clear" w:color="auto" w:fill="F2F6FA"/>
          </w:tcPr>
          <w:p>
            <w:r/>
            <w:r>
              <w:rPr>
                <w:sz w:val="15"/>
              </w:rPr>
              <w:t>All UAE</w:t>
            </w:r>
          </w:p>
        </w:tc>
        <w:tc>
          <w:tcPr>
            <w:tcW w:type="dxa" w:w="907"/>
            <w:shd w:val="clear" w:color="auto" w:fill="F2F6FA"/>
          </w:tcPr>
          <w:p>
            <w:r/>
            <w:r>
              <w:rPr>
                <w:sz w:val="15"/>
              </w:rPr>
              <w:t>Critical</w:t>
            </w:r>
          </w:p>
        </w:tc>
        <w:tc>
          <w:tcPr>
            <w:tcW w:type="dxa" w:w="1134"/>
            <w:shd w:val="clear" w:color="auto" w:fill="F2F6FA"/>
          </w:tcPr>
          <w:p>
            <w:r/>
            <w:r>
              <w:rPr>
                <w:sz w:val="15"/>
              </w:rPr>
            </w:r>
          </w:p>
        </w:tc>
        <w:tc>
          <w:tcPr>
            <w:tcW w:type="dxa" w:w="1814"/>
            <w:shd w:val="clear" w:color="auto" w:fill="F2F6FA"/>
          </w:tcPr>
          <w:p>
            <w:r/>
            <w:r>
              <w:rPr>
                <w:sz w:val="15"/>
              </w:rPr>
            </w:r>
          </w:p>
        </w:tc>
      </w:tr>
      <w:tr>
        <w:trPr>
          <w:cantSplit/>
        </w:trPr>
        <w:tc>
          <w:tcPr>
            <w:tcW w:type="dxa" w:w="510"/>
          </w:tcPr>
          <w:p>
            <w:r/>
            <w:r>
              <w:rPr>
                <w:sz w:val="15"/>
              </w:rPr>
              <w:t>5</w:t>
            </w:r>
          </w:p>
        </w:tc>
        <w:tc>
          <w:tcPr>
            <w:tcW w:type="dxa" w:w="3742"/>
          </w:tcPr>
          <w:p>
            <w:r/>
            <w:r>
              <w:rPr>
                <w:sz w:val="15"/>
              </w:rPr>
              <w:t>Name the all-clear authority and prohibit supervisors from restarting work independently after rain.</w:t>
            </w:r>
          </w:p>
        </w:tc>
        <w:tc>
          <w:tcPr>
            <w:tcW w:type="dxa" w:w="3061"/>
          </w:tcPr>
          <w:p>
            <w:r/>
            <w:r>
              <w:rPr>
                <w:sz w:val="15"/>
              </w:rPr>
              <w:t>Weather can stop long before ground, power and temporary works become safe again.</w:t>
            </w:r>
          </w:p>
        </w:tc>
        <w:tc>
          <w:tcPr>
            <w:tcW w:type="dxa" w:w="2381"/>
          </w:tcPr>
          <w:p>
            <w:r/>
            <w:r>
              <w:rPr>
                <w:sz w:val="15"/>
              </w:rPr>
              <w:t>NCEMA BCM guide [F14]; HSE [T4]</w:t>
            </w:r>
          </w:p>
        </w:tc>
        <w:tc>
          <w:tcPr>
            <w:tcW w:type="dxa" w:w="1191"/>
          </w:tcPr>
          <w:p>
            <w:r/>
            <w:r>
              <w:rPr>
                <w:sz w:val="15"/>
              </w:rPr>
              <w:t>All UAE</w:t>
            </w:r>
          </w:p>
        </w:tc>
        <w:tc>
          <w:tcPr>
            <w:tcW w:type="dxa" w:w="907"/>
          </w:tcPr>
          <w:p>
            <w:r/>
            <w:r>
              <w:rPr>
                <w:sz w:val="15"/>
              </w:rPr>
              <w:t>Critical</w:t>
            </w:r>
          </w:p>
        </w:tc>
        <w:tc>
          <w:tcPr>
            <w:tcW w:type="dxa" w:w="1134"/>
          </w:tcPr>
          <w:p>
            <w:r/>
            <w:r>
              <w:rPr>
                <w:sz w:val="15"/>
              </w:rPr>
            </w:r>
          </w:p>
        </w:tc>
        <w:tc>
          <w:tcPr>
            <w:tcW w:type="dxa" w:w="1814"/>
          </w:tcPr>
          <w:p>
            <w:r/>
            <w:r>
              <w:rPr>
                <w:sz w:val="15"/>
              </w:rPr>
            </w:r>
          </w:p>
        </w:tc>
      </w:tr>
      <w:tr>
        <w:trPr>
          <w:cantSplit/>
        </w:trPr>
        <w:tc>
          <w:tcPr>
            <w:tcW w:type="dxa" w:w="510"/>
            <w:shd w:val="clear" w:color="auto" w:fill="F2F6FA"/>
          </w:tcPr>
          <w:p>
            <w:r/>
            <w:r>
              <w:rPr>
                <w:sz w:val="15"/>
              </w:rPr>
              <w:t>6</w:t>
            </w:r>
          </w:p>
        </w:tc>
        <w:tc>
          <w:tcPr>
            <w:tcW w:type="dxa" w:w="3742"/>
            <w:shd w:val="clear" w:color="auto" w:fill="F2F6FA"/>
          </w:tcPr>
          <w:p>
            <w:r/>
            <w:r>
              <w:rPr>
                <w:sz w:val="15"/>
              </w:rPr>
              <w:t>Hold a pre-season review of permits and NOCs, authority and utility contacts, critical drawings, the flood map, the call-out roster and subcontractor obligations.</w:t>
            </w:r>
          </w:p>
        </w:tc>
        <w:tc>
          <w:tcPr>
            <w:tcW w:type="dxa" w:w="3061"/>
            <w:shd w:val="clear" w:color="auto" w:fill="F2F6FA"/>
          </w:tcPr>
          <w:p>
            <w:r/>
            <w:r>
              <w:rPr>
                <w:sz w:val="15"/>
              </w:rPr>
              <w:t>Wet-weather decisions fail when permits, drawings or contact ownership are stale.</w:t>
            </w:r>
          </w:p>
        </w:tc>
        <w:tc>
          <w:tcPr>
            <w:tcW w:type="dxa" w:w="2381"/>
            <w:shd w:val="clear" w:color="auto" w:fill="F2F6FA"/>
          </w:tcPr>
          <w:p>
            <w:r/>
            <w:r>
              <w:rPr>
                <w:sz w:val="15"/>
              </w:rPr>
              <w:t>DMT NOC lifecycle [AD1]; Dubai Municipality [DB1]; NCEMA BCM [F14]</w:t>
            </w:r>
          </w:p>
        </w:tc>
        <w:tc>
          <w:tcPr>
            <w:tcW w:type="dxa" w:w="1191"/>
            <w:shd w:val="clear" w:color="auto" w:fill="F2F6FA"/>
          </w:tcPr>
          <w:p>
            <w:r/>
            <w:r>
              <w:rPr>
                <w:sz w:val="15"/>
              </w:rPr>
              <w:t>All UAE</w:t>
            </w:r>
          </w:p>
        </w:tc>
        <w:tc>
          <w:tcPr>
            <w:tcW w:type="dxa" w:w="907"/>
            <w:shd w:val="clear" w:color="auto" w:fill="F2F6FA"/>
          </w:tcPr>
          <w:p>
            <w:r/>
            <w:r>
              <w:rPr>
                <w:sz w:val="15"/>
              </w:rPr>
              <w:t>High</w:t>
            </w:r>
          </w:p>
        </w:tc>
        <w:tc>
          <w:tcPr>
            <w:tcW w:type="dxa" w:w="1134"/>
            <w:shd w:val="clear" w:color="auto" w:fill="F2F6FA"/>
          </w:tcPr>
          <w:p>
            <w:r/>
            <w:r>
              <w:rPr>
                <w:sz w:val="15"/>
              </w:rPr>
            </w:r>
          </w:p>
        </w:tc>
        <w:tc>
          <w:tcPr>
            <w:tcW w:type="dxa" w:w="1814"/>
            <w:shd w:val="clear" w:color="auto" w:fill="F2F6FA"/>
          </w:tcPr>
          <w:p>
            <w:r/>
            <w:r>
              <w:rPr>
                <w:sz w:val="15"/>
              </w:rPr>
            </w:r>
          </w:p>
        </w:tc>
      </w:tr>
      <w:tr>
        <w:trPr>
          <w:cantSplit/>
        </w:trPr>
        <w:tc>
          <w:tcPr>
            <w:tcW w:type="dxa" w:w="510"/>
          </w:tcPr>
          <w:p>
            <w:r/>
            <w:r>
              <w:rPr>
                <w:sz w:val="15"/>
              </w:rPr>
              <w:t>7</w:t>
            </w:r>
          </w:p>
        </w:tc>
        <w:tc>
          <w:tcPr>
            <w:tcW w:type="dxa" w:w="3742"/>
          </w:tcPr>
          <w:p>
            <w:r/>
            <w:r>
              <w:rPr>
                <w:sz w:val="15"/>
              </w:rPr>
              <w:t>Insert weather hold points into method statements, lift plans, excavation permits, confined-space permits and the temporary-works register.</w:t>
            </w:r>
          </w:p>
        </w:tc>
        <w:tc>
          <w:tcPr>
            <w:tcW w:type="dxa" w:w="3061"/>
          </w:tcPr>
          <w:p>
            <w:r/>
            <w:r>
              <w:rPr>
                <w:sz w:val="15"/>
              </w:rPr>
              <w:t>Places rain and wind decisions inside controlled work systems rather than a separate HSE notice.</w:t>
            </w:r>
          </w:p>
        </w:tc>
        <w:tc>
          <w:tcPr>
            <w:tcW w:type="dxa" w:w="2381"/>
          </w:tcPr>
          <w:p>
            <w:r/>
            <w:r>
              <w:rPr>
                <w:sz w:val="15"/>
              </w:rPr>
              <w:t>ADOSH code index [AD2]; HSE lifting [T8]</w:t>
            </w:r>
          </w:p>
        </w:tc>
        <w:tc>
          <w:tcPr>
            <w:tcW w:type="dxa" w:w="1191"/>
          </w:tcPr>
          <w:p>
            <w:r/>
            <w:r>
              <w:rPr>
                <w:sz w:val="15"/>
              </w:rPr>
              <w:t>All UAE</w:t>
            </w:r>
          </w:p>
        </w:tc>
        <w:tc>
          <w:tcPr>
            <w:tcW w:type="dxa" w:w="907"/>
          </w:tcPr>
          <w:p>
            <w:r/>
            <w:r>
              <w:rPr>
                <w:sz w:val="15"/>
              </w:rPr>
              <w:t>High</w:t>
            </w:r>
          </w:p>
        </w:tc>
        <w:tc>
          <w:tcPr>
            <w:tcW w:type="dxa" w:w="1134"/>
          </w:tcPr>
          <w:p>
            <w:r/>
            <w:r>
              <w:rPr>
                <w:sz w:val="15"/>
              </w:rPr>
            </w:r>
          </w:p>
        </w:tc>
        <w:tc>
          <w:tcPr>
            <w:tcW w:type="dxa" w:w="1814"/>
          </w:tcPr>
          <w:p>
            <w:r/>
            <w:r>
              <w:rPr>
                <w:sz w:val="15"/>
              </w:rPr>
            </w:r>
          </w:p>
        </w:tc>
      </w:tr>
      <w:tr>
        <w:trPr>
          <w:cantSplit/>
        </w:trPr>
        <w:tc>
          <w:tcPr>
            <w:tcW w:type="dxa" w:w="510"/>
            <w:shd w:val="clear" w:color="auto" w:fill="F2F6FA"/>
          </w:tcPr>
          <w:p>
            <w:r/>
            <w:r>
              <w:rPr>
                <w:sz w:val="15"/>
              </w:rPr>
              <w:t>8</w:t>
            </w:r>
          </w:p>
        </w:tc>
        <w:tc>
          <w:tcPr>
            <w:tcW w:type="dxa" w:w="3742"/>
            <w:shd w:val="clear" w:color="auto" w:fill="F2F6FA"/>
          </w:tcPr>
          <w:p>
            <w:r/>
            <w:r>
              <w:rPr>
                <w:sz w:val="15"/>
              </w:rPr>
              <w:t>Brief all workers in their own language on alarms, muster points, no-go flood routes and their right to refuse unsafe travel.</w:t>
            </w:r>
          </w:p>
        </w:tc>
        <w:tc>
          <w:tcPr>
            <w:tcW w:type="dxa" w:w="3061"/>
            <w:shd w:val="clear" w:color="auto" w:fill="F2F6FA"/>
          </w:tcPr>
          <w:p>
            <w:r/>
            <w:r>
              <w:rPr>
                <w:sz w:val="15"/>
              </w:rPr>
              <w:t>A warning only works when it becomes understood action, including for workers without smartphone access.</w:t>
            </w:r>
          </w:p>
        </w:tc>
        <w:tc>
          <w:tcPr>
            <w:tcW w:type="dxa" w:w="2381"/>
            <w:shd w:val="clear" w:color="auto" w:fill="F2F6FA"/>
          </w:tcPr>
          <w:p>
            <w:r/>
            <w:r>
              <w:rPr>
                <w:sz w:val="15"/>
              </w:rPr>
              <w:t>NCEMA [F2]; MOHRE circular [F6]</w:t>
            </w:r>
          </w:p>
        </w:tc>
        <w:tc>
          <w:tcPr>
            <w:tcW w:type="dxa" w:w="1191"/>
            <w:shd w:val="clear" w:color="auto" w:fill="F2F6FA"/>
          </w:tcPr>
          <w:p>
            <w:r/>
            <w:r>
              <w:rPr>
                <w:sz w:val="15"/>
              </w:rPr>
              <w:t>All UAE</w:t>
            </w:r>
          </w:p>
        </w:tc>
        <w:tc>
          <w:tcPr>
            <w:tcW w:type="dxa" w:w="907"/>
            <w:shd w:val="clear" w:color="auto" w:fill="F2F6FA"/>
          </w:tcPr>
          <w:p>
            <w:r/>
            <w:r>
              <w:rPr>
                <w:sz w:val="15"/>
              </w:rPr>
              <w:t>High</w:t>
            </w:r>
          </w:p>
        </w:tc>
        <w:tc>
          <w:tcPr>
            <w:tcW w:type="dxa" w:w="1134"/>
            <w:shd w:val="clear" w:color="auto" w:fill="F2F6FA"/>
          </w:tcPr>
          <w:p>
            <w:r/>
            <w:r>
              <w:rPr>
                <w:sz w:val="15"/>
              </w:rPr>
            </w:r>
          </w:p>
        </w:tc>
        <w:tc>
          <w:tcPr>
            <w:tcW w:type="dxa" w:w="1814"/>
            <w:shd w:val="clear" w:color="auto" w:fill="F2F6FA"/>
          </w:tcPr>
          <w:p>
            <w:r/>
            <w:r>
              <w:rPr>
                <w:sz w:val="15"/>
              </w:rPr>
            </w:r>
          </w:p>
        </w:tc>
      </w:tr>
      <w:tr>
        <w:trPr>
          <w:cantSplit/>
        </w:trPr>
        <w:tc>
          <w:tcPr>
            <w:tcW w:type="dxa" w:w="510"/>
          </w:tcPr>
          <w:p>
            <w:r/>
            <w:r>
              <w:rPr>
                <w:sz w:val="15"/>
              </w:rPr>
              <w:t>9</w:t>
            </w:r>
          </w:p>
        </w:tc>
        <w:tc>
          <w:tcPr>
            <w:tcW w:type="dxa" w:w="3742"/>
          </w:tcPr>
          <w:p>
            <w:r/>
            <w:r>
              <w:rPr>
                <w:sz w:val="15"/>
              </w:rPr>
              <w:t>Record site-level observations (water levels, pump status, ponding, access-road condition) alongside the forecast at each check.</w:t>
            </w:r>
          </w:p>
        </w:tc>
        <w:tc>
          <w:tcPr>
            <w:tcW w:type="dxa" w:w="3061"/>
          </w:tcPr>
          <w:p>
            <w:r/>
            <w:r>
              <w:rPr>
                <w:sz w:val="15"/>
              </w:rPr>
              <w:t>Local conditions, not the forecast alone, determine when the site becomes unsafe.</w:t>
            </w:r>
          </w:p>
        </w:tc>
        <w:tc>
          <w:tcPr>
            <w:tcW w:type="dxa" w:w="2381"/>
          </w:tcPr>
          <w:p>
            <w:r/>
            <w:r>
              <w:rPr>
                <w:sz w:val="15"/>
              </w:rPr>
              <w:t>Dubai Municipality weather response [EV7]; CIRIA [T9]</w:t>
            </w:r>
          </w:p>
        </w:tc>
        <w:tc>
          <w:tcPr>
            <w:tcW w:type="dxa" w:w="1191"/>
          </w:tcPr>
          <w:p>
            <w:r/>
            <w:r>
              <w:rPr>
                <w:sz w:val="15"/>
              </w:rPr>
              <w:t>All UAE</w:t>
            </w:r>
          </w:p>
        </w:tc>
        <w:tc>
          <w:tcPr>
            <w:tcW w:type="dxa" w:w="907"/>
          </w:tcPr>
          <w:p>
            <w:r/>
            <w:r>
              <w:rPr>
                <w:sz w:val="15"/>
              </w:rPr>
              <w:t>High</w:t>
            </w:r>
          </w:p>
        </w:tc>
        <w:tc>
          <w:tcPr>
            <w:tcW w:type="dxa" w:w="1134"/>
          </w:tcPr>
          <w:p>
            <w:r/>
            <w:r>
              <w:rPr>
                <w:sz w:val="15"/>
              </w:rPr>
            </w:r>
          </w:p>
        </w:tc>
        <w:tc>
          <w:tcPr>
            <w:tcW w:type="dxa" w:w="1814"/>
          </w:tcPr>
          <w:p>
            <w:r/>
            <w:r>
              <w:rPr>
                <w:sz w:val="15"/>
              </w:rPr>
            </w:r>
          </w:p>
        </w:tc>
      </w:tr>
      <w:tr>
        <w:trPr>
          <w:cantSplit/>
        </w:trPr>
        <w:tc>
          <w:tcPr>
            <w:tcW w:type="dxa" w:w="510"/>
            <w:shd w:val="clear" w:color="auto" w:fill="F2F6FA"/>
          </w:tcPr>
          <w:p>
            <w:r/>
            <w:r>
              <w:rPr>
                <w:sz w:val="15"/>
              </w:rPr>
              <w:t>10</w:t>
            </w:r>
          </w:p>
        </w:tc>
        <w:tc>
          <w:tcPr>
            <w:tcW w:type="dxa" w:w="3742"/>
            <w:shd w:val="clear" w:color="auto" w:fill="F2F6FA"/>
          </w:tcPr>
          <w:p>
            <w:r/>
            <w:r>
              <w:rPr>
                <w:sz w:val="15"/>
              </w:rPr>
              <w:t>Run and record a pre-season rain and flood drill with subcontractors and accommodation management, then close the corrective actions.</w:t>
            </w:r>
          </w:p>
        </w:tc>
        <w:tc>
          <w:tcPr>
            <w:tcW w:type="dxa" w:w="3061"/>
            <w:shd w:val="clear" w:color="auto" w:fill="F2F6FA"/>
          </w:tcPr>
          <w:p>
            <w:r/>
            <w:r>
              <w:rPr>
                <w:sz w:val="15"/>
              </w:rPr>
              <w:t>Business-continuity practice expects exercises, reports and corrective action before the event.</w:t>
            </w:r>
          </w:p>
        </w:tc>
        <w:tc>
          <w:tcPr>
            <w:tcW w:type="dxa" w:w="2381"/>
            <w:shd w:val="clear" w:color="auto" w:fill="F2F6FA"/>
          </w:tcPr>
          <w:p>
            <w:r/>
            <w:r>
              <w:rPr>
                <w:sz w:val="15"/>
              </w:rPr>
              <w:t>NCEMA BCM guide [F14]; MOI/NCEMA April 2024 response [EV2]</w:t>
            </w:r>
          </w:p>
        </w:tc>
        <w:tc>
          <w:tcPr>
            <w:tcW w:type="dxa" w:w="1191"/>
            <w:shd w:val="clear" w:color="auto" w:fill="F2F6FA"/>
          </w:tcPr>
          <w:p>
            <w:r/>
            <w:r>
              <w:rPr>
                <w:sz w:val="15"/>
              </w:rPr>
              <w:t>All UAE</w:t>
            </w:r>
          </w:p>
        </w:tc>
        <w:tc>
          <w:tcPr>
            <w:tcW w:type="dxa" w:w="907"/>
            <w:shd w:val="clear" w:color="auto" w:fill="F2F6FA"/>
          </w:tcPr>
          <w:p>
            <w:r/>
            <w:r>
              <w:rPr>
                <w:sz w:val="15"/>
              </w:rPr>
              <w:t>Medium</w:t>
            </w:r>
          </w:p>
        </w:tc>
        <w:tc>
          <w:tcPr>
            <w:tcW w:type="dxa" w:w="1134"/>
            <w:shd w:val="clear" w:color="auto" w:fill="F2F6FA"/>
          </w:tcPr>
          <w:p>
            <w:r/>
            <w:r>
              <w:rPr>
                <w:sz w:val="15"/>
              </w:rPr>
            </w:r>
          </w:p>
        </w:tc>
        <w:tc>
          <w:tcPr>
            <w:tcW w:type="dxa" w:w="1814"/>
            <w:shd w:val="clear" w:color="auto" w:fill="F2F6FA"/>
          </w:tcPr>
          <w:p>
            <w:r/>
            <w:r>
              <w:rPr>
                <w:sz w:val="15"/>
              </w:rPr>
            </w:r>
          </w:p>
        </w:tc>
      </w:tr>
    </w:tbl>
    <w:p/>
    <w:p>
      <w:pPr>
        <w:pStyle w:val="Heading2"/>
      </w:pPr>
      <w:r>
        <w:t>B. Drainage, Flood Defence &amp; Dewatering</w:t>
      </w:r>
    </w:p>
    <w:tbl>
      <w:tblPr>
        <w:tblStyle w:val="TableGrid"/>
        <w:tblW w:type="auto" w:w="0"/>
        <w:jc w:val="center"/>
        <w:tblLook w:firstColumn="1" w:firstRow="1" w:lastColumn="0" w:lastRow="0" w:noHBand="0" w:noVBand="1" w:val="04A0"/>
        <w:tblLayout w:type="fixed"/>
      </w:tblPr>
      <w:tblGrid>
        <w:gridCol w:w="510"/>
        <w:gridCol w:w="3742"/>
        <w:gridCol w:w="3062"/>
        <w:gridCol w:w="2381"/>
        <w:gridCol w:w="1191"/>
        <w:gridCol w:w="907"/>
        <w:gridCol w:w="1134"/>
        <w:gridCol w:w="1814"/>
      </w:tblGrid>
      <w:tr>
        <w:trPr>
          <w:cantSplit/>
        </w:trPr>
        <w:tc>
          <w:tcPr>
            <w:tcW w:type="dxa" w:w="510"/>
            <w:shd w:val="clear" w:color="auto" w:fill="126E6E"/>
          </w:tcPr>
          <w:p>
            <w:r/>
            <w:r>
              <w:rPr>
                <w:b/>
                <w:color w:val="FFFFFF"/>
                <w:sz w:val="15"/>
              </w:rPr>
              <w:t>#</w:t>
            </w:r>
          </w:p>
        </w:tc>
        <w:tc>
          <w:tcPr>
            <w:tcW w:type="dxa" w:w="3742"/>
            <w:shd w:val="clear" w:color="auto" w:fill="126E6E"/>
          </w:tcPr>
          <w:p>
            <w:r/>
            <w:r>
              <w:rPr>
                <w:b/>
                <w:color w:val="FFFFFF"/>
                <w:sz w:val="15"/>
              </w:rPr>
              <w:t>Check item</w:t>
            </w:r>
          </w:p>
        </w:tc>
        <w:tc>
          <w:tcPr>
            <w:tcW w:type="dxa" w:w="3061"/>
            <w:shd w:val="clear" w:color="auto" w:fill="126E6E"/>
          </w:tcPr>
          <w:p>
            <w:r/>
            <w:r>
              <w:rPr>
                <w:b/>
                <w:color w:val="FFFFFF"/>
                <w:sz w:val="15"/>
              </w:rPr>
              <w:t>Why it matters (risk)</w:t>
            </w:r>
          </w:p>
        </w:tc>
        <w:tc>
          <w:tcPr>
            <w:tcW w:type="dxa" w:w="2381"/>
            <w:shd w:val="clear" w:color="auto" w:fill="126E6E"/>
          </w:tcPr>
          <w:p>
            <w:r/>
            <w:r>
              <w:rPr>
                <w:b/>
                <w:color w:val="FFFFFF"/>
                <w:sz w:val="15"/>
              </w:rPr>
              <w:t>Authority / source reference</w:t>
            </w:r>
          </w:p>
        </w:tc>
        <w:tc>
          <w:tcPr>
            <w:tcW w:type="dxa" w:w="1191"/>
            <w:shd w:val="clear" w:color="auto" w:fill="126E6E"/>
          </w:tcPr>
          <w:p>
            <w:r/>
            <w:r>
              <w:rPr>
                <w:b/>
                <w:color w:val="FFFFFF"/>
                <w:sz w:val="15"/>
              </w:rPr>
              <w:t>Applies to</w:t>
            </w:r>
          </w:p>
        </w:tc>
        <w:tc>
          <w:tcPr>
            <w:tcW w:type="dxa" w:w="907"/>
            <w:shd w:val="clear" w:color="auto" w:fill="126E6E"/>
          </w:tcPr>
          <w:p>
            <w:r/>
            <w:r>
              <w:rPr>
                <w:b/>
                <w:color w:val="FFFFFF"/>
                <w:sz w:val="15"/>
              </w:rPr>
              <w:t>Priority</w:t>
            </w:r>
          </w:p>
        </w:tc>
        <w:tc>
          <w:tcPr>
            <w:tcW w:type="dxa" w:w="1134"/>
            <w:shd w:val="clear" w:color="auto" w:fill="126E6E"/>
          </w:tcPr>
          <w:p>
            <w:r/>
            <w:r>
              <w:rPr>
                <w:b/>
                <w:color w:val="FFFFFF"/>
                <w:sz w:val="15"/>
              </w:rPr>
              <w:t>Status / initials</w:t>
            </w:r>
          </w:p>
        </w:tc>
        <w:tc>
          <w:tcPr>
            <w:tcW w:type="dxa" w:w="1814"/>
            <w:shd w:val="clear" w:color="auto" w:fill="126E6E"/>
          </w:tcPr>
          <w:p>
            <w:r/>
            <w:r>
              <w:rPr>
                <w:b/>
                <w:color w:val="FFFFFF"/>
                <w:sz w:val="15"/>
              </w:rPr>
              <w:t>Evidence reference</w:t>
            </w:r>
          </w:p>
        </w:tc>
      </w:tr>
      <w:tr>
        <w:trPr>
          <w:cantSplit/>
        </w:trPr>
        <w:tc>
          <w:tcPr>
            <w:tcW w:type="dxa" w:w="510"/>
          </w:tcPr>
          <w:p>
            <w:r/>
            <w:r>
              <w:rPr>
                <w:sz w:val="15"/>
              </w:rPr>
              <w:t>11</w:t>
            </w:r>
          </w:p>
        </w:tc>
        <w:tc>
          <w:tcPr>
            <w:tcW w:type="dxa" w:w="3742"/>
          </w:tcPr>
          <w:p>
            <w:r/>
            <w:r>
              <w:rPr>
                <w:sz w:val="15"/>
              </w:rPr>
              <w:t>Produce a surveyed site flood plan showing contours, low points, overland flow routes, inlets, manholes, culverts, sumps and receiving points, and update it after every event.</w:t>
            </w:r>
          </w:p>
        </w:tc>
        <w:tc>
          <w:tcPr>
            <w:tcW w:type="dxa" w:w="3061"/>
          </w:tcPr>
          <w:p>
            <w:r/>
            <w:r>
              <w:rPr>
                <w:sz w:val="15"/>
              </w:rPr>
              <w:t>Pre-identifies how water reaches people, plant, pits and public infrastructure.</w:t>
            </w:r>
          </w:p>
        </w:tc>
        <w:tc>
          <w:tcPr>
            <w:tcW w:type="dxa" w:w="2381"/>
          </w:tcPr>
          <w:p>
            <w:r/>
            <w:r>
              <w:rPr>
                <w:sz w:val="15"/>
              </w:rPr>
              <w:t>DMT infrastructure guideline [AD1]; CIRIA SuDS construction [T9]</w:t>
            </w:r>
          </w:p>
        </w:tc>
        <w:tc>
          <w:tcPr>
            <w:tcW w:type="dxa" w:w="1191"/>
          </w:tcPr>
          <w:p>
            <w:r/>
            <w:r>
              <w:rPr>
                <w:sz w:val="15"/>
              </w:rPr>
              <w:t>All UAE</w:t>
            </w:r>
          </w:p>
        </w:tc>
        <w:tc>
          <w:tcPr>
            <w:tcW w:type="dxa" w:w="907"/>
          </w:tcPr>
          <w:p>
            <w:r/>
            <w:r>
              <w:rPr>
                <w:sz w:val="15"/>
              </w:rPr>
              <w:t>Critical</w:t>
            </w:r>
          </w:p>
        </w:tc>
        <w:tc>
          <w:tcPr>
            <w:tcW w:type="dxa" w:w="1134"/>
          </w:tcPr>
          <w:p>
            <w:r/>
            <w:r>
              <w:rPr>
                <w:sz w:val="15"/>
              </w:rPr>
            </w:r>
          </w:p>
        </w:tc>
        <w:tc>
          <w:tcPr>
            <w:tcW w:type="dxa" w:w="1814"/>
          </w:tcPr>
          <w:p>
            <w:r/>
            <w:r>
              <w:rPr>
                <w:sz w:val="15"/>
              </w:rPr>
            </w:r>
          </w:p>
        </w:tc>
      </w:tr>
      <w:tr>
        <w:trPr>
          <w:cantSplit/>
        </w:trPr>
        <w:tc>
          <w:tcPr>
            <w:tcW w:type="dxa" w:w="510"/>
            <w:shd w:val="clear" w:color="auto" w:fill="F2F6FA"/>
          </w:tcPr>
          <w:p>
            <w:r/>
            <w:r>
              <w:rPr>
                <w:sz w:val="15"/>
              </w:rPr>
              <w:t>12</w:t>
            </w:r>
          </w:p>
        </w:tc>
        <w:tc>
          <w:tcPr>
            <w:tcW w:type="dxa" w:w="3742"/>
            <w:shd w:val="clear" w:color="auto" w:fill="F2F6FA"/>
          </w:tcPr>
          <w:p>
            <w:r/>
            <w:r>
              <w:rPr>
                <w:sz w:val="15"/>
              </w:rPr>
              <w:t>Verify approved drainage tie-ins, outfalls, invert levels and asset-owner or NOC conditions before any wet-season change; no ad-hoc connection to public drainage or sewer.</w:t>
            </w:r>
          </w:p>
        </w:tc>
        <w:tc>
          <w:tcPr>
            <w:tcW w:type="dxa" w:w="3061"/>
            <w:shd w:val="clear" w:color="auto" w:fill="F2F6FA"/>
          </w:tcPr>
          <w:p>
            <w:r/>
            <w:r>
              <w:rPr>
                <w:sz w:val="15"/>
              </w:rPr>
              <w:t>Public drainage is not an implied construction discharge point.</w:t>
            </w:r>
          </w:p>
        </w:tc>
        <w:tc>
          <w:tcPr>
            <w:tcW w:type="dxa" w:w="2381"/>
            <w:shd w:val="clear" w:color="auto" w:fill="F2F6FA"/>
          </w:tcPr>
          <w:p>
            <w:r/>
            <w:r>
              <w:rPr>
                <w:sz w:val="15"/>
              </w:rPr>
              <w:t>DMT [AD1]; Dubai Municipality utility services [DB1]</w:t>
            </w:r>
          </w:p>
        </w:tc>
        <w:tc>
          <w:tcPr>
            <w:tcW w:type="dxa" w:w="1191"/>
            <w:shd w:val="clear" w:color="auto" w:fill="F2F6FA"/>
          </w:tcPr>
          <w:p>
            <w:r/>
            <w:r>
              <w:rPr>
                <w:sz w:val="15"/>
              </w:rPr>
              <w:t>All UAE</w:t>
            </w:r>
          </w:p>
        </w:tc>
        <w:tc>
          <w:tcPr>
            <w:tcW w:type="dxa" w:w="907"/>
            <w:shd w:val="clear" w:color="auto" w:fill="F2F6FA"/>
          </w:tcPr>
          <w:p>
            <w:r/>
            <w:r>
              <w:rPr>
                <w:sz w:val="15"/>
              </w:rPr>
              <w:t>High</w:t>
            </w:r>
          </w:p>
        </w:tc>
        <w:tc>
          <w:tcPr>
            <w:tcW w:type="dxa" w:w="1134"/>
            <w:shd w:val="clear" w:color="auto" w:fill="F2F6FA"/>
          </w:tcPr>
          <w:p>
            <w:r/>
            <w:r>
              <w:rPr>
                <w:sz w:val="15"/>
              </w:rPr>
            </w:r>
          </w:p>
        </w:tc>
        <w:tc>
          <w:tcPr>
            <w:tcW w:type="dxa" w:w="1814"/>
            <w:shd w:val="clear" w:color="auto" w:fill="F2F6FA"/>
          </w:tcPr>
          <w:p>
            <w:r/>
            <w:r>
              <w:rPr>
                <w:sz w:val="15"/>
              </w:rPr>
            </w:r>
          </w:p>
        </w:tc>
      </w:tr>
      <w:tr>
        <w:trPr>
          <w:cantSplit/>
        </w:trPr>
        <w:tc>
          <w:tcPr>
            <w:tcW w:type="dxa" w:w="510"/>
          </w:tcPr>
          <w:p>
            <w:r/>
            <w:r>
              <w:rPr>
                <w:sz w:val="15"/>
              </w:rPr>
              <w:t>13</w:t>
            </w:r>
          </w:p>
        </w:tc>
        <w:tc>
          <w:tcPr>
            <w:tcW w:type="dxa" w:w="3742"/>
          </w:tcPr>
          <w:p>
            <w:r/>
            <w:r>
              <w:rPr>
                <w:sz w:val="15"/>
              </w:rPr>
              <w:t>Keep the current written dewatering permit or NOC, routed drawing, pump schedule and discharge conditions at the pump station and site office.</w:t>
            </w:r>
          </w:p>
        </w:tc>
        <w:tc>
          <w:tcPr>
            <w:tcW w:type="dxa" w:w="3061"/>
          </w:tcPr>
          <w:p>
            <w:r/>
            <w:r>
              <w:rPr>
                <w:sz w:val="15"/>
              </w:rPr>
              <w:t>Authorities may control the pump, pipe, discharge point and sedimentation arrangement.</w:t>
            </w:r>
          </w:p>
        </w:tc>
        <w:tc>
          <w:tcPr>
            <w:tcW w:type="dxa" w:w="2381"/>
          </w:tcPr>
          <w:p>
            <w:r/>
            <w:r>
              <w:rPr>
                <w:sz w:val="15"/>
              </w:rPr>
              <w:t>Dubai Local Order No. 8/2002 Art. 27 [EN1]; DDA dewatering NOC [DB3]</w:t>
            </w:r>
          </w:p>
        </w:tc>
        <w:tc>
          <w:tcPr>
            <w:tcW w:type="dxa" w:w="1191"/>
          </w:tcPr>
          <w:p>
            <w:r/>
            <w:r>
              <w:rPr>
                <w:sz w:val="15"/>
              </w:rPr>
              <w:t>All UAE (permit-driven)</w:t>
            </w:r>
          </w:p>
        </w:tc>
        <w:tc>
          <w:tcPr>
            <w:tcW w:type="dxa" w:w="907"/>
          </w:tcPr>
          <w:p>
            <w:r/>
            <w:r>
              <w:rPr>
                <w:sz w:val="15"/>
              </w:rPr>
              <w:t>Critical</w:t>
            </w:r>
          </w:p>
        </w:tc>
        <w:tc>
          <w:tcPr>
            <w:tcW w:type="dxa" w:w="1134"/>
          </w:tcPr>
          <w:p>
            <w:r/>
            <w:r>
              <w:rPr>
                <w:sz w:val="15"/>
              </w:rPr>
            </w:r>
          </w:p>
        </w:tc>
        <w:tc>
          <w:tcPr>
            <w:tcW w:type="dxa" w:w="1814"/>
          </w:tcPr>
          <w:p>
            <w:r/>
            <w:r>
              <w:rPr>
                <w:sz w:val="15"/>
              </w:rPr>
            </w:r>
          </w:p>
        </w:tc>
      </w:tr>
      <w:tr>
        <w:trPr>
          <w:cantSplit/>
        </w:trPr>
        <w:tc>
          <w:tcPr>
            <w:tcW w:type="dxa" w:w="510"/>
            <w:shd w:val="clear" w:color="auto" w:fill="F2F6FA"/>
          </w:tcPr>
          <w:p>
            <w:r/>
            <w:r>
              <w:rPr>
                <w:sz w:val="15"/>
              </w:rPr>
              <w:t>14</w:t>
            </w:r>
          </w:p>
        </w:tc>
        <w:tc>
          <w:tcPr>
            <w:tcW w:type="dxa" w:w="3742"/>
            <w:shd w:val="clear" w:color="auto" w:fill="F2F6FA"/>
          </w:tcPr>
          <w:p>
            <w:r/>
            <w:r>
              <w:rPr>
                <w:sz w:val="15"/>
              </w:rPr>
              <w:t>Test duty and standby pumps, float switches, generator backup, hoses, couplings and non-return valves before forecast rain and after every event.</w:t>
            </w:r>
          </w:p>
        </w:tc>
        <w:tc>
          <w:tcPr>
            <w:tcW w:type="dxa" w:w="3061"/>
            <w:shd w:val="clear" w:color="auto" w:fill="F2F6FA"/>
          </w:tcPr>
          <w:p>
            <w:r/>
            <w:r>
              <w:rPr>
                <w:sz w:val="15"/>
              </w:rPr>
              <w:t>A single pump failure can rapidly inundate a pit, basement or access route.</w:t>
            </w:r>
          </w:p>
        </w:tc>
        <w:tc>
          <w:tcPr>
            <w:tcW w:type="dxa" w:w="2381"/>
            <w:shd w:val="clear" w:color="auto" w:fill="F2F6FA"/>
          </w:tcPr>
          <w:p>
            <w:r/>
            <w:r>
              <w:rPr>
                <w:sz w:val="15"/>
              </w:rPr>
              <w:t>Dubai Municipality readiness reporting [EV7]; Dubai Municipality [DB1]</w:t>
            </w:r>
          </w:p>
        </w:tc>
        <w:tc>
          <w:tcPr>
            <w:tcW w:type="dxa" w:w="1191"/>
            <w:shd w:val="clear" w:color="auto" w:fill="F2F6FA"/>
          </w:tcPr>
          <w:p>
            <w:r/>
            <w:r>
              <w:rPr>
                <w:sz w:val="15"/>
              </w:rPr>
              <w:t>All UAE</w:t>
            </w:r>
          </w:p>
        </w:tc>
        <w:tc>
          <w:tcPr>
            <w:tcW w:type="dxa" w:w="907"/>
            <w:shd w:val="clear" w:color="auto" w:fill="F2F6FA"/>
          </w:tcPr>
          <w:p>
            <w:r/>
            <w:r>
              <w:rPr>
                <w:sz w:val="15"/>
              </w:rPr>
              <w:t>Critical</w:t>
            </w:r>
          </w:p>
        </w:tc>
        <w:tc>
          <w:tcPr>
            <w:tcW w:type="dxa" w:w="1134"/>
            <w:shd w:val="clear" w:color="auto" w:fill="F2F6FA"/>
          </w:tcPr>
          <w:p>
            <w:r/>
            <w:r>
              <w:rPr>
                <w:sz w:val="15"/>
              </w:rPr>
            </w:r>
          </w:p>
        </w:tc>
        <w:tc>
          <w:tcPr>
            <w:tcW w:type="dxa" w:w="1814"/>
            <w:shd w:val="clear" w:color="auto" w:fill="F2F6FA"/>
          </w:tcPr>
          <w:p>
            <w:r/>
            <w:r>
              <w:rPr>
                <w:sz w:val="15"/>
              </w:rPr>
            </w:r>
          </w:p>
        </w:tc>
      </w:tr>
      <w:tr>
        <w:trPr>
          <w:cantSplit/>
        </w:trPr>
        <w:tc>
          <w:tcPr>
            <w:tcW w:type="dxa" w:w="510"/>
          </w:tcPr>
          <w:p>
            <w:r/>
            <w:r>
              <w:rPr>
                <w:sz w:val="15"/>
              </w:rPr>
              <w:t>15</w:t>
            </w:r>
          </w:p>
        </w:tc>
        <w:tc>
          <w:tcPr>
            <w:tcW w:type="dxa" w:w="3742"/>
          </w:tcPr>
          <w:p>
            <w:r/>
            <w:r>
              <w:rPr>
                <w:sz w:val="15"/>
              </w:rPr>
              <w:t>Provide protected, attended sumps with spare fuel, raised generator and pump platforms and automatic high-level alarms.</w:t>
            </w:r>
          </w:p>
        </w:tc>
        <w:tc>
          <w:tcPr>
            <w:tcW w:type="dxa" w:w="3061"/>
          </w:tcPr>
          <w:p>
            <w:r/>
            <w:r>
              <w:rPr>
                <w:sz w:val="15"/>
              </w:rPr>
              <w:t>Maintains removal capacity without turning the pump or fuel system into a flood or pollution source.</w:t>
            </w:r>
          </w:p>
        </w:tc>
        <w:tc>
          <w:tcPr>
            <w:tcW w:type="dxa" w:w="2381"/>
          </w:tcPr>
          <w:p>
            <w:r/>
            <w:r>
              <w:rPr>
                <w:sz w:val="15"/>
              </w:rPr>
              <w:t>Ajman MPDA permit context [AJ1]; CIRIA [T9]</w:t>
            </w:r>
          </w:p>
        </w:tc>
        <w:tc>
          <w:tcPr>
            <w:tcW w:type="dxa" w:w="1191"/>
          </w:tcPr>
          <w:p>
            <w:r/>
            <w:r>
              <w:rPr>
                <w:sz w:val="15"/>
              </w:rPr>
              <w:t>All UAE</w:t>
            </w:r>
          </w:p>
        </w:tc>
        <w:tc>
          <w:tcPr>
            <w:tcW w:type="dxa" w:w="907"/>
          </w:tcPr>
          <w:p>
            <w:r/>
            <w:r>
              <w:rPr>
                <w:sz w:val="15"/>
              </w:rPr>
              <w:t>High</w:t>
            </w:r>
          </w:p>
        </w:tc>
        <w:tc>
          <w:tcPr>
            <w:tcW w:type="dxa" w:w="1134"/>
          </w:tcPr>
          <w:p>
            <w:r/>
            <w:r>
              <w:rPr>
                <w:sz w:val="15"/>
              </w:rPr>
            </w:r>
          </w:p>
        </w:tc>
        <w:tc>
          <w:tcPr>
            <w:tcW w:type="dxa" w:w="1814"/>
          </w:tcPr>
          <w:p>
            <w:r/>
            <w:r>
              <w:rPr>
                <w:sz w:val="15"/>
              </w:rPr>
            </w:r>
          </w:p>
        </w:tc>
      </w:tr>
      <w:tr>
        <w:trPr>
          <w:cantSplit/>
        </w:trPr>
        <w:tc>
          <w:tcPr>
            <w:tcW w:type="dxa" w:w="510"/>
            <w:shd w:val="clear" w:color="auto" w:fill="F2F6FA"/>
          </w:tcPr>
          <w:p>
            <w:r/>
            <w:r>
              <w:rPr>
                <w:sz w:val="15"/>
              </w:rPr>
              <w:t>16</w:t>
            </w:r>
          </w:p>
        </w:tc>
        <w:tc>
          <w:tcPr>
            <w:tcW w:type="dxa" w:w="3742"/>
            <w:shd w:val="clear" w:color="auto" w:fill="F2F6FA"/>
          </w:tcPr>
          <w:p>
            <w:r/>
            <w:r>
              <w:rPr>
                <w:sz w:val="15"/>
              </w:rPr>
              <w:t>Separate clean runoff from silty excavation water, oily water, concrete washout and sewage before any discharge.</w:t>
            </w:r>
          </w:p>
        </w:tc>
        <w:tc>
          <w:tcPr>
            <w:tcW w:type="dxa" w:w="3061"/>
            <w:shd w:val="clear" w:color="auto" w:fill="F2F6FA"/>
          </w:tcPr>
          <w:p>
            <w:r/>
            <w:r>
              <w:rPr>
                <w:sz w:val="15"/>
              </w:rPr>
              <w:t>A clear appearance is not proof that water is clean or lawful to discharge.</w:t>
            </w:r>
          </w:p>
        </w:tc>
        <w:tc>
          <w:tcPr>
            <w:tcW w:type="dxa" w:w="2381"/>
            <w:shd w:val="clear" w:color="auto" w:fill="F2F6FA"/>
          </w:tcPr>
          <w:p>
            <w:r/>
            <w:r>
              <w:rPr>
                <w:sz w:val="15"/>
              </w:rPr>
              <w:t>Dubai Local Order No. 8/2002 [EN1]; Dubai Green Building Regulations [EN2]</w:t>
            </w:r>
          </w:p>
        </w:tc>
        <w:tc>
          <w:tcPr>
            <w:tcW w:type="dxa" w:w="1191"/>
            <w:shd w:val="clear" w:color="auto" w:fill="F2F6FA"/>
          </w:tcPr>
          <w:p>
            <w:r/>
            <w:r>
              <w:rPr>
                <w:sz w:val="15"/>
              </w:rPr>
              <w:t>All UAE</w:t>
            </w:r>
          </w:p>
        </w:tc>
        <w:tc>
          <w:tcPr>
            <w:tcW w:type="dxa" w:w="907"/>
            <w:shd w:val="clear" w:color="auto" w:fill="F2F6FA"/>
          </w:tcPr>
          <w:p>
            <w:r/>
            <w:r>
              <w:rPr>
                <w:sz w:val="15"/>
              </w:rPr>
              <w:t>High</w:t>
            </w:r>
          </w:p>
        </w:tc>
        <w:tc>
          <w:tcPr>
            <w:tcW w:type="dxa" w:w="1134"/>
            <w:shd w:val="clear" w:color="auto" w:fill="F2F6FA"/>
          </w:tcPr>
          <w:p>
            <w:r/>
            <w:r>
              <w:rPr>
                <w:sz w:val="15"/>
              </w:rPr>
            </w:r>
          </w:p>
        </w:tc>
        <w:tc>
          <w:tcPr>
            <w:tcW w:type="dxa" w:w="1814"/>
            <w:shd w:val="clear" w:color="auto" w:fill="F2F6FA"/>
          </w:tcPr>
          <w:p>
            <w:r/>
            <w:r>
              <w:rPr>
                <w:sz w:val="15"/>
              </w:rPr>
            </w:r>
          </w:p>
        </w:tc>
      </w:tr>
      <w:tr>
        <w:trPr>
          <w:cantSplit/>
        </w:trPr>
        <w:tc>
          <w:tcPr>
            <w:tcW w:type="dxa" w:w="510"/>
          </w:tcPr>
          <w:p>
            <w:r/>
            <w:r>
              <w:rPr>
                <w:sz w:val="15"/>
              </w:rPr>
              <w:t>17</w:t>
            </w:r>
          </w:p>
        </w:tc>
        <w:tc>
          <w:tcPr>
            <w:tcW w:type="dxa" w:w="3742"/>
          </w:tcPr>
          <w:p>
            <w:r/>
            <w:r>
              <w:rPr>
                <w:sz w:val="15"/>
              </w:rPr>
              <w:t>Pass approved dirty water through settlement or filtration and sample uncharacterised water before discharge.</w:t>
            </w:r>
          </w:p>
        </w:tc>
        <w:tc>
          <w:tcPr>
            <w:tcW w:type="dxa" w:w="3061"/>
          </w:tcPr>
          <w:p>
            <w:r/>
            <w:r>
              <w:rPr>
                <w:sz w:val="15"/>
              </w:rPr>
              <w:t>Silt and contaminants block networks and pollute receptors; permits can require treatment and monitoring.</w:t>
            </w:r>
          </w:p>
        </w:tc>
        <w:tc>
          <w:tcPr>
            <w:tcW w:type="dxa" w:w="2381"/>
          </w:tcPr>
          <w:p>
            <w:r/>
            <w:r>
              <w:rPr>
                <w:sz w:val="15"/>
              </w:rPr>
              <w:t>ADOSH CoP 29.0 [AD3]; Abu Dhabi DoE Water Quality Regulations 2025 [EN3]</w:t>
            </w:r>
          </w:p>
        </w:tc>
        <w:tc>
          <w:tcPr>
            <w:tcW w:type="dxa" w:w="1191"/>
          </w:tcPr>
          <w:p>
            <w:r/>
            <w:r>
              <w:rPr>
                <w:sz w:val="15"/>
              </w:rPr>
              <w:t>All UAE</w:t>
            </w:r>
          </w:p>
        </w:tc>
        <w:tc>
          <w:tcPr>
            <w:tcW w:type="dxa" w:w="907"/>
          </w:tcPr>
          <w:p>
            <w:r/>
            <w:r>
              <w:rPr>
                <w:sz w:val="15"/>
              </w:rPr>
              <w:t>High</w:t>
            </w:r>
          </w:p>
        </w:tc>
        <w:tc>
          <w:tcPr>
            <w:tcW w:type="dxa" w:w="1134"/>
          </w:tcPr>
          <w:p>
            <w:r/>
            <w:r>
              <w:rPr>
                <w:sz w:val="15"/>
              </w:rPr>
            </w:r>
          </w:p>
        </w:tc>
        <w:tc>
          <w:tcPr>
            <w:tcW w:type="dxa" w:w="1814"/>
          </w:tcPr>
          <w:p>
            <w:r/>
            <w:r>
              <w:rPr>
                <w:sz w:val="15"/>
              </w:rPr>
            </w:r>
          </w:p>
        </w:tc>
      </w:tr>
      <w:tr>
        <w:trPr>
          <w:cantSplit/>
        </w:trPr>
        <w:tc>
          <w:tcPr>
            <w:tcW w:type="dxa" w:w="510"/>
            <w:shd w:val="clear" w:color="auto" w:fill="F2F6FA"/>
          </w:tcPr>
          <w:p>
            <w:r/>
            <w:r>
              <w:rPr>
                <w:sz w:val="15"/>
              </w:rPr>
              <w:t>18</w:t>
            </w:r>
          </w:p>
        </w:tc>
        <w:tc>
          <w:tcPr>
            <w:tcW w:type="dxa" w:w="3742"/>
            <w:shd w:val="clear" w:color="auto" w:fill="F2F6FA"/>
          </w:tcPr>
          <w:p>
            <w:r/>
            <w:r>
              <w:rPr>
                <w:sz w:val="15"/>
              </w:rPr>
              <w:t>Prohibit ad-hoc discharge to storm drains, sewers, roads, wadis, beaches, marine water or neighbouring plots.</w:t>
            </w:r>
          </w:p>
        </w:tc>
        <w:tc>
          <w:tcPr>
            <w:tcW w:type="dxa" w:w="3061"/>
            <w:shd w:val="clear" w:color="auto" w:fill="F2F6FA"/>
          </w:tcPr>
          <w:p>
            <w:r/>
            <w:r>
              <w:rPr>
                <w:sz w:val="15"/>
              </w:rPr>
              <w:t>Federal law prohibits polluting discharge and a written receiving-route approval is required.</w:t>
            </w:r>
          </w:p>
        </w:tc>
        <w:tc>
          <w:tcPr>
            <w:tcW w:type="dxa" w:w="2381"/>
            <w:shd w:val="clear" w:color="auto" w:fill="F2F6FA"/>
          </w:tcPr>
          <w:p>
            <w:r/>
            <w:r>
              <w:rPr>
                <w:sz w:val="15"/>
              </w:rPr>
              <w:t>Federal Law No. 24/1999 [F9]; Dubai Local Order No. 8/2002 [EN1]</w:t>
            </w:r>
          </w:p>
        </w:tc>
        <w:tc>
          <w:tcPr>
            <w:tcW w:type="dxa" w:w="1191"/>
            <w:shd w:val="clear" w:color="auto" w:fill="F2F6FA"/>
          </w:tcPr>
          <w:p>
            <w:r/>
            <w:r>
              <w:rPr>
                <w:sz w:val="15"/>
              </w:rPr>
              <w:t>All UAE</w:t>
            </w:r>
          </w:p>
        </w:tc>
        <w:tc>
          <w:tcPr>
            <w:tcW w:type="dxa" w:w="907"/>
            <w:shd w:val="clear" w:color="auto" w:fill="F2F6FA"/>
          </w:tcPr>
          <w:p>
            <w:r/>
            <w:r>
              <w:rPr>
                <w:sz w:val="15"/>
              </w:rPr>
              <w:t>Critical</w:t>
            </w:r>
          </w:p>
        </w:tc>
        <w:tc>
          <w:tcPr>
            <w:tcW w:type="dxa" w:w="1134"/>
            <w:shd w:val="clear" w:color="auto" w:fill="F2F6FA"/>
          </w:tcPr>
          <w:p>
            <w:r/>
            <w:r>
              <w:rPr>
                <w:sz w:val="15"/>
              </w:rPr>
            </w:r>
          </w:p>
        </w:tc>
        <w:tc>
          <w:tcPr>
            <w:tcW w:type="dxa" w:w="1814"/>
            <w:shd w:val="clear" w:color="auto" w:fill="F2F6FA"/>
          </w:tcPr>
          <w:p>
            <w:r/>
            <w:r>
              <w:rPr>
                <w:sz w:val="15"/>
              </w:rPr>
            </w:r>
          </w:p>
        </w:tc>
      </w:tr>
      <w:tr>
        <w:trPr>
          <w:cantSplit/>
        </w:trPr>
        <w:tc>
          <w:tcPr>
            <w:tcW w:type="dxa" w:w="510"/>
          </w:tcPr>
          <w:p>
            <w:r/>
            <w:r>
              <w:rPr>
                <w:sz w:val="15"/>
              </w:rPr>
              <w:t>19</w:t>
            </w:r>
          </w:p>
        </w:tc>
        <w:tc>
          <w:tcPr>
            <w:tcW w:type="dxa" w:w="3742"/>
          </w:tcPr>
          <w:p>
            <w:r/>
            <w:r>
              <w:rPr>
                <w:sz w:val="15"/>
              </w:rPr>
              <w:t>Install silt fences, inlet protection, check dams, sediment traps and covered-stockpile controls before bulk earthworks begin.</w:t>
            </w:r>
          </w:p>
        </w:tc>
        <w:tc>
          <w:tcPr>
            <w:tcW w:type="dxa" w:w="3061"/>
          </w:tcPr>
          <w:p>
            <w:r/>
            <w:r>
              <w:rPr>
                <w:sz w:val="15"/>
              </w:rPr>
              <w:t>Controls need capacity before the first runoff, not after sediment reaches public inlets.</w:t>
            </w:r>
          </w:p>
        </w:tc>
        <w:tc>
          <w:tcPr>
            <w:tcW w:type="dxa" w:w="2381"/>
          </w:tcPr>
          <w:p>
            <w:r/>
            <w:r>
              <w:rPr>
                <w:sz w:val="15"/>
              </w:rPr>
              <w:t>CIRIA SuDS construction [T9]; Dubai Green Building Regulations [EN2]</w:t>
            </w:r>
          </w:p>
        </w:tc>
        <w:tc>
          <w:tcPr>
            <w:tcW w:type="dxa" w:w="1191"/>
          </w:tcPr>
          <w:p>
            <w:r/>
            <w:r>
              <w:rPr>
                <w:sz w:val="15"/>
              </w:rPr>
              <w:t>All UAE</w:t>
            </w:r>
          </w:p>
        </w:tc>
        <w:tc>
          <w:tcPr>
            <w:tcW w:type="dxa" w:w="907"/>
          </w:tcPr>
          <w:p>
            <w:r/>
            <w:r>
              <w:rPr>
                <w:sz w:val="15"/>
              </w:rPr>
              <w:t>High</w:t>
            </w:r>
          </w:p>
        </w:tc>
        <w:tc>
          <w:tcPr>
            <w:tcW w:type="dxa" w:w="1134"/>
          </w:tcPr>
          <w:p>
            <w:r/>
            <w:r>
              <w:rPr>
                <w:sz w:val="15"/>
              </w:rPr>
            </w:r>
          </w:p>
        </w:tc>
        <w:tc>
          <w:tcPr>
            <w:tcW w:type="dxa" w:w="1814"/>
          </w:tcPr>
          <w:p>
            <w:r/>
            <w:r>
              <w:rPr>
                <w:sz w:val="15"/>
              </w:rPr>
            </w:r>
          </w:p>
        </w:tc>
      </w:tr>
      <w:tr>
        <w:trPr>
          <w:cantSplit/>
        </w:trPr>
        <w:tc>
          <w:tcPr>
            <w:tcW w:type="dxa" w:w="510"/>
            <w:shd w:val="clear" w:color="auto" w:fill="F2F6FA"/>
          </w:tcPr>
          <w:p>
            <w:r/>
            <w:r>
              <w:rPr>
                <w:sz w:val="15"/>
              </w:rPr>
              <w:t>20</w:t>
            </w:r>
          </w:p>
        </w:tc>
        <w:tc>
          <w:tcPr>
            <w:tcW w:type="dxa" w:w="3742"/>
            <w:shd w:val="clear" w:color="auto" w:fill="F2F6FA"/>
          </w:tcPr>
          <w:p>
            <w:r/>
            <w:r>
              <w:rPr>
                <w:sz w:val="15"/>
              </w:rPr>
              <w:t>Inspect and desilt traps, drains, gullies and temporary channels before and after every significant event.</w:t>
            </w:r>
          </w:p>
        </w:tc>
        <w:tc>
          <w:tcPr>
            <w:tcW w:type="dxa" w:w="3061"/>
            <w:shd w:val="clear" w:color="auto" w:fill="F2F6FA"/>
          </w:tcPr>
          <w:p>
            <w:r/>
            <w:r>
              <w:rPr>
                <w:sz w:val="15"/>
              </w:rPr>
              <w:t>Sediment capacity is finite and debris-blocked inlets worsen urban flooding.</w:t>
            </w:r>
          </w:p>
        </w:tc>
        <w:tc>
          <w:tcPr>
            <w:tcW w:type="dxa" w:w="2381"/>
            <w:shd w:val="clear" w:color="auto" w:fill="F2F6FA"/>
          </w:tcPr>
          <w:p>
            <w:r/>
            <w:r>
              <w:rPr>
                <w:sz w:val="15"/>
              </w:rPr>
              <w:t>Dubai post-rain pest and outlet programme [EV4]; Dubai Municipality readiness [EV7]</w:t>
            </w:r>
          </w:p>
        </w:tc>
        <w:tc>
          <w:tcPr>
            <w:tcW w:type="dxa" w:w="1191"/>
            <w:shd w:val="clear" w:color="auto" w:fill="F2F6FA"/>
          </w:tcPr>
          <w:p>
            <w:r/>
            <w:r>
              <w:rPr>
                <w:sz w:val="15"/>
              </w:rPr>
              <w:t>All UAE</w:t>
            </w:r>
          </w:p>
        </w:tc>
        <w:tc>
          <w:tcPr>
            <w:tcW w:type="dxa" w:w="907"/>
            <w:shd w:val="clear" w:color="auto" w:fill="F2F6FA"/>
          </w:tcPr>
          <w:p>
            <w:r/>
            <w:r>
              <w:rPr>
                <w:sz w:val="15"/>
              </w:rPr>
              <w:t>High</w:t>
            </w:r>
          </w:p>
        </w:tc>
        <w:tc>
          <w:tcPr>
            <w:tcW w:type="dxa" w:w="1134"/>
            <w:shd w:val="clear" w:color="auto" w:fill="F2F6FA"/>
          </w:tcPr>
          <w:p>
            <w:r/>
            <w:r>
              <w:rPr>
                <w:sz w:val="15"/>
              </w:rPr>
            </w:r>
          </w:p>
        </w:tc>
        <w:tc>
          <w:tcPr>
            <w:tcW w:type="dxa" w:w="1814"/>
            <w:shd w:val="clear" w:color="auto" w:fill="F2F6FA"/>
          </w:tcPr>
          <w:p>
            <w:r/>
            <w:r>
              <w:rPr>
                <w:sz w:val="15"/>
              </w:rPr>
            </w:r>
          </w:p>
        </w:tc>
      </w:tr>
      <w:tr>
        <w:trPr>
          <w:cantSplit/>
        </w:trPr>
        <w:tc>
          <w:tcPr>
            <w:tcW w:type="dxa" w:w="510"/>
          </w:tcPr>
          <w:p>
            <w:r/>
            <w:r>
              <w:rPr>
                <w:sz w:val="15"/>
              </w:rPr>
              <w:t>21</w:t>
            </w:r>
          </w:p>
        </w:tc>
        <w:tc>
          <w:tcPr>
            <w:tcW w:type="dxa" w:w="3742"/>
          </w:tcPr>
          <w:p>
            <w:r/>
            <w:r>
              <w:rPr>
                <w:sz w:val="15"/>
              </w:rPr>
              <w:t>Secure hoses against traffic, scour and disconnection, never discharge at a slope toe, and fence and light basins, manholes and discharge points.</w:t>
            </w:r>
          </w:p>
        </w:tc>
        <w:tc>
          <w:tcPr>
            <w:tcW w:type="dxa" w:w="3061"/>
          </w:tcPr>
          <w:p>
            <w:r/>
            <w:r>
              <w:rPr>
                <w:sz w:val="15"/>
              </w:rPr>
              <w:t>Uncontrolled hose movement erodes ground, creates trip hazards and redirects flooding.</w:t>
            </w:r>
          </w:p>
        </w:tc>
        <w:tc>
          <w:tcPr>
            <w:tcW w:type="dxa" w:w="2381"/>
          </w:tcPr>
          <w:p>
            <w:r/>
            <w:r>
              <w:rPr>
                <w:sz w:val="15"/>
              </w:rPr>
              <w:t>HSE [T4]; RAK structural regulations [RK3]; Dubai Local Order No. 8/2002 [EN1]</w:t>
            </w:r>
          </w:p>
        </w:tc>
        <w:tc>
          <w:tcPr>
            <w:tcW w:type="dxa" w:w="1191"/>
          </w:tcPr>
          <w:p>
            <w:r/>
            <w:r>
              <w:rPr>
                <w:sz w:val="15"/>
              </w:rPr>
              <w:t>All UAE</w:t>
            </w:r>
          </w:p>
        </w:tc>
        <w:tc>
          <w:tcPr>
            <w:tcW w:type="dxa" w:w="907"/>
          </w:tcPr>
          <w:p>
            <w:r/>
            <w:r>
              <w:rPr>
                <w:sz w:val="15"/>
              </w:rPr>
              <w:t>High</w:t>
            </w:r>
          </w:p>
        </w:tc>
        <w:tc>
          <w:tcPr>
            <w:tcW w:type="dxa" w:w="1134"/>
          </w:tcPr>
          <w:p>
            <w:r/>
            <w:r>
              <w:rPr>
                <w:sz w:val="15"/>
              </w:rPr>
            </w:r>
          </w:p>
        </w:tc>
        <w:tc>
          <w:tcPr>
            <w:tcW w:type="dxa" w:w="1814"/>
          </w:tcPr>
          <w:p>
            <w:r/>
            <w:r>
              <w:rPr>
                <w:sz w:val="15"/>
              </w:rPr>
            </w:r>
          </w:p>
        </w:tc>
      </w:tr>
      <w:tr>
        <w:trPr>
          <w:cantSplit/>
        </w:trPr>
        <w:tc>
          <w:tcPr>
            <w:tcW w:type="dxa" w:w="510"/>
            <w:shd w:val="clear" w:color="auto" w:fill="F2F6FA"/>
          </w:tcPr>
          <w:p>
            <w:r/>
            <w:r>
              <w:rPr>
                <w:sz w:val="15"/>
              </w:rPr>
              <w:t>22</w:t>
            </w:r>
          </w:p>
        </w:tc>
        <w:tc>
          <w:tcPr>
            <w:tcW w:type="dxa" w:w="3742"/>
            <w:shd w:val="clear" w:color="auto" w:fill="F2F6FA"/>
          </w:tcPr>
          <w:p>
            <w:r/>
            <w:r>
              <w:rPr>
                <w:sz w:val="15"/>
              </w:rPr>
              <w:t>Stop pumping and investigate if a settlement basin leaks or infiltrates, and keep an approved tanker or receiver contingency for water that cannot lawfully be discharged.</w:t>
            </w:r>
          </w:p>
        </w:tc>
        <w:tc>
          <w:tcPr>
            <w:tcW w:type="dxa" w:w="3061"/>
            <w:shd w:val="clear" w:color="auto" w:fill="F2F6FA"/>
          </w:tcPr>
          <w:p>
            <w:r/>
            <w:r>
              <w:rPr>
                <w:sz w:val="15"/>
              </w:rPr>
              <w:t>Leakage undermines ground and spreads polluted water; contaminated water must not simply be transferred to the public system.</w:t>
            </w:r>
          </w:p>
        </w:tc>
        <w:tc>
          <w:tcPr>
            <w:tcW w:type="dxa" w:w="2381"/>
            <w:shd w:val="clear" w:color="auto" w:fill="F2F6FA"/>
          </w:tcPr>
          <w:p>
            <w:r/>
            <w:r>
              <w:rPr>
                <w:sz w:val="15"/>
              </w:rPr>
              <w:t>Dubai Local Order No. 8/2002 Art. 29 [EN1]; Federal Law No. 24/1999 [F9]</w:t>
            </w:r>
          </w:p>
        </w:tc>
        <w:tc>
          <w:tcPr>
            <w:tcW w:type="dxa" w:w="1191"/>
            <w:shd w:val="clear" w:color="auto" w:fill="F2F6FA"/>
          </w:tcPr>
          <w:p>
            <w:r/>
            <w:r>
              <w:rPr>
                <w:sz w:val="15"/>
              </w:rPr>
              <w:t>All UAE</w:t>
            </w:r>
          </w:p>
        </w:tc>
        <w:tc>
          <w:tcPr>
            <w:tcW w:type="dxa" w:w="907"/>
            <w:shd w:val="clear" w:color="auto" w:fill="F2F6FA"/>
          </w:tcPr>
          <w:p>
            <w:r/>
            <w:r>
              <w:rPr>
                <w:sz w:val="15"/>
              </w:rPr>
              <w:t>High</w:t>
            </w:r>
          </w:p>
        </w:tc>
        <w:tc>
          <w:tcPr>
            <w:tcW w:type="dxa" w:w="1134"/>
            <w:shd w:val="clear" w:color="auto" w:fill="F2F6FA"/>
          </w:tcPr>
          <w:p>
            <w:r/>
            <w:r>
              <w:rPr>
                <w:sz w:val="15"/>
              </w:rPr>
            </w:r>
          </w:p>
        </w:tc>
        <w:tc>
          <w:tcPr>
            <w:tcW w:type="dxa" w:w="1814"/>
            <w:shd w:val="clear" w:color="auto" w:fill="F2F6FA"/>
          </w:tcPr>
          <w:p>
            <w:r/>
            <w:r>
              <w:rPr>
                <w:sz w:val="15"/>
              </w:rPr>
            </w:r>
          </w:p>
        </w:tc>
      </w:tr>
    </w:tbl>
    <w:p/>
    <w:p>
      <w:pPr>
        <w:pStyle w:val="Heading2"/>
      </w:pPr>
      <w:r>
        <w:t>C. Low-Lying Areas, Excavations &amp; Ground Conditions</w:t>
      </w:r>
    </w:p>
    <w:tbl>
      <w:tblPr>
        <w:tblStyle w:val="TableGrid"/>
        <w:tblW w:type="auto" w:w="0"/>
        <w:jc w:val="center"/>
        <w:tblLook w:firstColumn="1" w:firstRow="1" w:lastColumn="0" w:lastRow="0" w:noHBand="0" w:noVBand="1" w:val="04A0"/>
        <w:tblLayout w:type="fixed"/>
      </w:tblPr>
      <w:tblGrid>
        <w:gridCol w:w="510"/>
        <w:gridCol w:w="3742"/>
        <w:gridCol w:w="3062"/>
        <w:gridCol w:w="2381"/>
        <w:gridCol w:w="1191"/>
        <w:gridCol w:w="907"/>
        <w:gridCol w:w="1134"/>
        <w:gridCol w:w="1814"/>
      </w:tblGrid>
      <w:tr>
        <w:trPr>
          <w:cantSplit/>
        </w:trPr>
        <w:tc>
          <w:tcPr>
            <w:tcW w:type="dxa" w:w="510"/>
            <w:shd w:val="clear" w:color="auto" w:fill="126E6E"/>
          </w:tcPr>
          <w:p>
            <w:r/>
            <w:r>
              <w:rPr>
                <w:b/>
                <w:color w:val="FFFFFF"/>
                <w:sz w:val="15"/>
              </w:rPr>
              <w:t>#</w:t>
            </w:r>
          </w:p>
        </w:tc>
        <w:tc>
          <w:tcPr>
            <w:tcW w:type="dxa" w:w="3742"/>
            <w:shd w:val="clear" w:color="auto" w:fill="126E6E"/>
          </w:tcPr>
          <w:p>
            <w:r/>
            <w:r>
              <w:rPr>
                <w:b/>
                <w:color w:val="FFFFFF"/>
                <w:sz w:val="15"/>
              </w:rPr>
              <w:t>Check item</w:t>
            </w:r>
          </w:p>
        </w:tc>
        <w:tc>
          <w:tcPr>
            <w:tcW w:type="dxa" w:w="3061"/>
            <w:shd w:val="clear" w:color="auto" w:fill="126E6E"/>
          </w:tcPr>
          <w:p>
            <w:r/>
            <w:r>
              <w:rPr>
                <w:b/>
                <w:color w:val="FFFFFF"/>
                <w:sz w:val="15"/>
              </w:rPr>
              <w:t>Why it matters (risk)</w:t>
            </w:r>
          </w:p>
        </w:tc>
        <w:tc>
          <w:tcPr>
            <w:tcW w:type="dxa" w:w="2381"/>
            <w:shd w:val="clear" w:color="auto" w:fill="126E6E"/>
          </w:tcPr>
          <w:p>
            <w:r/>
            <w:r>
              <w:rPr>
                <w:b/>
                <w:color w:val="FFFFFF"/>
                <w:sz w:val="15"/>
              </w:rPr>
              <w:t>Authority / source reference</w:t>
            </w:r>
          </w:p>
        </w:tc>
        <w:tc>
          <w:tcPr>
            <w:tcW w:type="dxa" w:w="1191"/>
            <w:shd w:val="clear" w:color="auto" w:fill="126E6E"/>
          </w:tcPr>
          <w:p>
            <w:r/>
            <w:r>
              <w:rPr>
                <w:b/>
                <w:color w:val="FFFFFF"/>
                <w:sz w:val="15"/>
              </w:rPr>
              <w:t>Applies to</w:t>
            </w:r>
          </w:p>
        </w:tc>
        <w:tc>
          <w:tcPr>
            <w:tcW w:type="dxa" w:w="907"/>
            <w:shd w:val="clear" w:color="auto" w:fill="126E6E"/>
          </w:tcPr>
          <w:p>
            <w:r/>
            <w:r>
              <w:rPr>
                <w:b/>
                <w:color w:val="FFFFFF"/>
                <w:sz w:val="15"/>
              </w:rPr>
              <w:t>Priority</w:t>
            </w:r>
          </w:p>
        </w:tc>
        <w:tc>
          <w:tcPr>
            <w:tcW w:type="dxa" w:w="1134"/>
            <w:shd w:val="clear" w:color="auto" w:fill="126E6E"/>
          </w:tcPr>
          <w:p>
            <w:r/>
            <w:r>
              <w:rPr>
                <w:b/>
                <w:color w:val="FFFFFF"/>
                <w:sz w:val="15"/>
              </w:rPr>
              <w:t>Status / initials</w:t>
            </w:r>
          </w:p>
        </w:tc>
        <w:tc>
          <w:tcPr>
            <w:tcW w:type="dxa" w:w="1814"/>
            <w:shd w:val="clear" w:color="auto" w:fill="126E6E"/>
          </w:tcPr>
          <w:p>
            <w:r/>
            <w:r>
              <w:rPr>
                <w:b/>
                <w:color w:val="FFFFFF"/>
                <w:sz w:val="15"/>
              </w:rPr>
              <w:t>Evidence reference</w:t>
            </w:r>
          </w:p>
        </w:tc>
      </w:tr>
      <w:tr>
        <w:trPr>
          <w:cantSplit/>
        </w:trPr>
        <w:tc>
          <w:tcPr>
            <w:tcW w:type="dxa" w:w="510"/>
          </w:tcPr>
          <w:p>
            <w:r/>
            <w:r>
              <w:rPr>
                <w:sz w:val="15"/>
              </w:rPr>
              <w:t>23</w:t>
            </w:r>
          </w:p>
        </w:tc>
        <w:tc>
          <w:tcPr>
            <w:tcW w:type="dxa" w:w="3742"/>
          </w:tcPr>
          <w:p>
            <w:r/>
            <w:r>
              <w:rPr>
                <w:sz w:val="15"/>
              </w:rPr>
              <w:t>Map and mark flood-sensitive zones: basements, ramps, lift pits, shafts, tunnels, low road crossings and drainage depressions.</w:t>
            </w:r>
          </w:p>
        </w:tc>
        <w:tc>
          <w:tcPr>
            <w:tcW w:type="dxa" w:w="3061"/>
          </w:tcPr>
          <w:p>
            <w:r/>
            <w:r>
              <w:rPr>
                <w:sz w:val="15"/>
              </w:rPr>
              <w:t>These locations concentrate inflow and can trap workers or critical equipment.</w:t>
            </w:r>
          </w:p>
        </w:tc>
        <w:tc>
          <w:tcPr>
            <w:tcW w:type="dxa" w:w="2381"/>
          </w:tcPr>
          <w:p>
            <w:r/>
            <w:r>
              <w:rPr>
                <w:sz w:val="15"/>
              </w:rPr>
              <w:t>Dubai Municipality [DB1]; April 2024 response evidence [EV2]</w:t>
            </w:r>
          </w:p>
        </w:tc>
        <w:tc>
          <w:tcPr>
            <w:tcW w:type="dxa" w:w="1191"/>
          </w:tcPr>
          <w:p>
            <w:r/>
            <w:r>
              <w:rPr>
                <w:sz w:val="15"/>
              </w:rPr>
              <w:t>All UAE</w:t>
            </w:r>
          </w:p>
        </w:tc>
        <w:tc>
          <w:tcPr>
            <w:tcW w:type="dxa" w:w="907"/>
          </w:tcPr>
          <w:p>
            <w:r/>
            <w:r>
              <w:rPr>
                <w:sz w:val="15"/>
              </w:rPr>
              <w:t>High</w:t>
            </w:r>
          </w:p>
        </w:tc>
        <w:tc>
          <w:tcPr>
            <w:tcW w:type="dxa" w:w="1134"/>
          </w:tcPr>
          <w:p>
            <w:r/>
            <w:r>
              <w:rPr>
                <w:sz w:val="15"/>
              </w:rPr>
            </w:r>
          </w:p>
        </w:tc>
        <w:tc>
          <w:tcPr>
            <w:tcW w:type="dxa" w:w="1814"/>
          </w:tcPr>
          <w:p>
            <w:r/>
            <w:r>
              <w:rPr>
                <w:sz w:val="15"/>
              </w:rPr>
            </w:r>
          </w:p>
        </w:tc>
      </w:tr>
      <w:tr>
        <w:trPr>
          <w:cantSplit/>
        </w:trPr>
        <w:tc>
          <w:tcPr>
            <w:tcW w:type="dxa" w:w="510"/>
            <w:shd w:val="clear" w:color="auto" w:fill="F2F6FA"/>
          </w:tcPr>
          <w:p>
            <w:r/>
            <w:r>
              <w:rPr>
                <w:sz w:val="15"/>
              </w:rPr>
              <w:t>24</w:t>
            </w:r>
          </w:p>
        </w:tc>
        <w:tc>
          <w:tcPr>
            <w:tcW w:type="dxa" w:w="3742"/>
            <w:shd w:val="clear" w:color="auto" w:fill="F2F6FA"/>
          </w:tcPr>
          <w:p>
            <w:r/>
            <w:r>
              <w:rPr>
                <w:sz w:val="15"/>
              </w:rPr>
              <w:t>Set no-entry triggers for standing or accumulating water, visible runoff, pump failure, sloughing, cracking, bulging or loss of access.</w:t>
            </w:r>
          </w:p>
        </w:tc>
        <w:tc>
          <w:tcPr>
            <w:tcW w:type="dxa" w:w="3061"/>
            <w:shd w:val="clear" w:color="auto" w:fill="F2F6FA"/>
          </w:tcPr>
          <w:p>
            <w:r/>
            <w:r>
              <w:rPr>
                <w:sz w:val="15"/>
              </w:rPr>
              <w:t>Each condition can indicate collapse, drowning or rescue risk.</w:t>
            </w:r>
          </w:p>
        </w:tc>
        <w:tc>
          <w:tcPr>
            <w:tcW w:type="dxa" w:w="2381"/>
            <w:shd w:val="clear" w:color="auto" w:fill="F2F6FA"/>
          </w:tcPr>
          <w:p>
            <w:r/>
            <w:r>
              <w:rPr>
                <w:sz w:val="15"/>
              </w:rPr>
              <w:t>HSE [T4]; OSHA 2226 [T5]</w:t>
            </w:r>
          </w:p>
        </w:tc>
        <w:tc>
          <w:tcPr>
            <w:tcW w:type="dxa" w:w="1191"/>
            <w:shd w:val="clear" w:color="auto" w:fill="F2F6FA"/>
          </w:tcPr>
          <w:p>
            <w:r/>
            <w:r>
              <w:rPr>
                <w:sz w:val="15"/>
              </w:rPr>
              <w:t>All UAE</w:t>
            </w:r>
          </w:p>
        </w:tc>
        <w:tc>
          <w:tcPr>
            <w:tcW w:type="dxa" w:w="907"/>
            <w:shd w:val="clear" w:color="auto" w:fill="F2F6FA"/>
          </w:tcPr>
          <w:p>
            <w:r/>
            <w:r>
              <w:rPr>
                <w:sz w:val="15"/>
              </w:rPr>
              <w:t>Critical</w:t>
            </w:r>
          </w:p>
        </w:tc>
        <w:tc>
          <w:tcPr>
            <w:tcW w:type="dxa" w:w="1134"/>
            <w:shd w:val="clear" w:color="auto" w:fill="F2F6FA"/>
          </w:tcPr>
          <w:p>
            <w:r/>
            <w:r>
              <w:rPr>
                <w:sz w:val="15"/>
              </w:rPr>
            </w:r>
          </w:p>
        </w:tc>
        <w:tc>
          <w:tcPr>
            <w:tcW w:type="dxa" w:w="1814"/>
            <w:shd w:val="clear" w:color="auto" w:fill="F2F6FA"/>
          </w:tcPr>
          <w:p>
            <w:r/>
            <w:r>
              <w:rPr>
                <w:sz w:val="15"/>
              </w:rPr>
            </w:r>
          </w:p>
        </w:tc>
      </w:tr>
      <w:tr>
        <w:trPr>
          <w:cantSplit/>
        </w:trPr>
        <w:tc>
          <w:tcPr>
            <w:tcW w:type="dxa" w:w="510"/>
          </w:tcPr>
          <w:p>
            <w:r/>
            <w:r>
              <w:rPr>
                <w:sz w:val="15"/>
              </w:rPr>
              <w:t>25</w:t>
            </w:r>
          </w:p>
        </w:tc>
        <w:tc>
          <w:tcPr>
            <w:tcW w:type="dxa" w:w="3742"/>
          </w:tcPr>
          <w:p>
            <w:r/>
            <w:r>
              <w:rPr>
                <w:sz w:val="15"/>
              </w:rPr>
              <w:t>Barricade flooded excavations and prohibit wading or driving to gauge water depth.</w:t>
            </w:r>
          </w:p>
        </w:tc>
        <w:tc>
          <w:tcPr>
            <w:tcW w:type="dxa" w:w="3061"/>
          </w:tcPr>
          <w:p>
            <w:r/>
            <w:r>
              <w:rPr>
                <w:sz w:val="15"/>
              </w:rPr>
              <w:t>Floodwater conceals drop-offs, live services, contaminated water and unstable soil.</w:t>
            </w:r>
          </w:p>
        </w:tc>
        <w:tc>
          <w:tcPr>
            <w:tcW w:type="dxa" w:w="2381"/>
          </w:tcPr>
          <w:p>
            <w:r/>
            <w:r>
              <w:rPr>
                <w:sz w:val="15"/>
              </w:rPr>
              <w:t>NCEMA emergency guide [F4]; OSHA 2226 [T5]</w:t>
            </w:r>
          </w:p>
        </w:tc>
        <w:tc>
          <w:tcPr>
            <w:tcW w:type="dxa" w:w="1191"/>
          </w:tcPr>
          <w:p>
            <w:r/>
            <w:r>
              <w:rPr>
                <w:sz w:val="15"/>
              </w:rPr>
              <w:t>All UAE</w:t>
            </w:r>
          </w:p>
        </w:tc>
        <w:tc>
          <w:tcPr>
            <w:tcW w:type="dxa" w:w="907"/>
          </w:tcPr>
          <w:p>
            <w:r/>
            <w:r>
              <w:rPr>
                <w:sz w:val="15"/>
              </w:rPr>
              <w:t>Critical</w:t>
            </w:r>
          </w:p>
        </w:tc>
        <w:tc>
          <w:tcPr>
            <w:tcW w:type="dxa" w:w="1134"/>
          </w:tcPr>
          <w:p>
            <w:r/>
            <w:r>
              <w:rPr>
                <w:sz w:val="15"/>
              </w:rPr>
            </w:r>
          </w:p>
        </w:tc>
        <w:tc>
          <w:tcPr>
            <w:tcW w:type="dxa" w:w="1814"/>
          </w:tcPr>
          <w:p>
            <w:r/>
            <w:r>
              <w:rPr>
                <w:sz w:val="15"/>
              </w:rPr>
            </w:r>
          </w:p>
        </w:tc>
      </w:tr>
      <w:tr>
        <w:trPr>
          <w:cantSplit/>
        </w:trPr>
        <w:tc>
          <w:tcPr>
            <w:tcW w:type="dxa" w:w="510"/>
            <w:shd w:val="clear" w:color="auto" w:fill="F2F6FA"/>
          </w:tcPr>
          <w:p>
            <w:r/>
            <w:r>
              <w:rPr>
                <w:sz w:val="15"/>
              </w:rPr>
              <w:t>26</w:t>
            </w:r>
          </w:p>
        </w:tc>
        <w:tc>
          <w:tcPr>
            <w:tcW w:type="dxa" w:w="3742"/>
            <w:shd w:val="clear" w:color="auto" w:fill="F2F6FA"/>
          </w:tcPr>
          <w:p>
            <w:r/>
            <w:r>
              <w:rPr>
                <w:sz w:val="15"/>
              </w:rPr>
              <w:t>Inspect excavation faces, shoring, trench boxes, edges, ladders, spoil setbacks and adjacent structures before each shift and after any destabilising event.</w:t>
            </w:r>
          </w:p>
        </w:tc>
        <w:tc>
          <w:tcPr>
            <w:tcW w:type="dxa" w:w="3061"/>
            <w:shd w:val="clear" w:color="auto" w:fill="F2F6FA"/>
          </w:tcPr>
          <w:p>
            <w:r/>
            <w:r>
              <w:rPr>
                <w:sz w:val="15"/>
              </w:rPr>
              <w:t>Water changes ground strength; ADOSH, HSE and OSHA all require competent reinspection after rain.</w:t>
            </w:r>
          </w:p>
        </w:tc>
        <w:tc>
          <w:tcPr>
            <w:tcW w:type="dxa" w:w="2381"/>
            <w:shd w:val="clear" w:color="auto" w:fill="F2F6FA"/>
          </w:tcPr>
          <w:p>
            <w:r/>
            <w:r>
              <w:rPr>
                <w:sz w:val="15"/>
              </w:rPr>
              <w:t>ADOSH CoP 29.0 [AD3]; HSE [T4]; OSHA 2226 [T5]</w:t>
            </w:r>
          </w:p>
        </w:tc>
        <w:tc>
          <w:tcPr>
            <w:tcW w:type="dxa" w:w="1191"/>
            <w:shd w:val="clear" w:color="auto" w:fill="F2F6FA"/>
          </w:tcPr>
          <w:p>
            <w:r/>
            <w:r>
              <w:rPr>
                <w:sz w:val="15"/>
              </w:rPr>
              <w:t>All UAE</w:t>
            </w:r>
          </w:p>
        </w:tc>
        <w:tc>
          <w:tcPr>
            <w:tcW w:type="dxa" w:w="907"/>
            <w:shd w:val="clear" w:color="auto" w:fill="F2F6FA"/>
          </w:tcPr>
          <w:p>
            <w:r/>
            <w:r>
              <w:rPr>
                <w:sz w:val="15"/>
              </w:rPr>
              <w:t>Critical</w:t>
            </w:r>
          </w:p>
        </w:tc>
        <w:tc>
          <w:tcPr>
            <w:tcW w:type="dxa" w:w="1134"/>
            <w:shd w:val="clear" w:color="auto" w:fill="F2F6FA"/>
          </w:tcPr>
          <w:p>
            <w:r/>
            <w:r>
              <w:rPr>
                <w:sz w:val="15"/>
              </w:rPr>
            </w:r>
          </w:p>
        </w:tc>
        <w:tc>
          <w:tcPr>
            <w:tcW w:type="dxa" w:w="1814"/>
            <w:shd w:val="clear" w:color="auto" w:fill="F2F6FA"/>
          </w:tcPr>
          <w:p>
            <w:r/>
            <w:r>
              <w:rPr>
                <w:sz w:val="15"/>
              </w:rPr>
            </w:r>
          </w:p>
        </w:tc>
      </w:tr>
      <w:tr>
        <w:trPr>
          <w:cantSplit/>
        </w:trPr>
        <w:tc>
          <w:tcPr>
            <w:tcW w:type="dxa" w:w="510"/>
          </w:tcPr>
          <w:p>
            <w:r/>
            <w:r>
              <w:rPr>
                <w:sz w:val="15"/>
              </w:rPr>
              <w:t>27</w:t>
            </w:r>
          </w:p>
        </w:tc>
        <w:tc>
          <w:tcPr>
            <w:tcW w:type="dxa" w:w="3742"/>
          </w:tcPr>
          <w:p>
            <w:r/>
            <w:r>
              <w:rPr>
                <w:sz w:val="15"/>
              </w:rPr>
              <w:t>Keep spoil, vehicles, cranes and stockpiles outside engineered edge-exclusion distances.</w:t>
            </w:r>
          </w:p>
        </w:tc>
        <w:tc>
          <w:tcPr>
            <w:tcW w:type="dxa" w:w="3061"/>
          </w:tcPr>
          <w:p>
            <w:r/>
            <w:r>
              <w:rPr>
                <w:sz w:val="15"/>
              </w:rPr>
              <w:t>Surcharge combined with saturated soil can cause edge failure or collapse.</w:t>
            </w:r>
          </w:p>
        </w:tc>
        <w:tc>
          <w:tcPr>
            <w:tcW w:type="dxa" w:w="2381"/>
          </w:tcPr>
          <w:p>
            <w:r/>
            <w:r>
              <w:rPr>
                <w:sz w:val="15"/>
              </w:rPr>
              <w:t>RAK structural regulations [RK3]; HSE [T4]</w:t>
            </w:r>
          </w:p>
        </w:tc>
        <w:tc>
          <w:tcPr>
            <w:tcW w:type="dxa" w:w="1191"/>
          </w:tcPr>
          <w:p>
            <w:r/>
            <w:r>
              <w:rPr>
                <w:sz w:val="15"/>
              </w:rPr>
              <w:t>All UAE</w:t>
            </w:r>
          </w:p>
        </w:tc>
        <w:tc>
          <w:tcPr>
            <w:tcW w:type="dxa" w:w="907"/>
          </w:tcPr>
          <w:p>
            <w:r/>
            <w:r>
              <w:rPr>
                <w:sz w:val="15"/>
              </w:rPr>
              <w:t>High</w:t>
            </w:r>
          </w:p>
        </w:tc>
        <w:tc>
          <w:tcPr>
            <w:tcW w:type="dxa" w:w="1134"/>
          </w:tcPr>
          <w:p>
            <w:r/>
            <w:r>
              <w:rPr>
                <w:sz w:val="15"/>
              </w:rPr>
            </w:r>
          </w:p>
        </w:tc>
        <w:tc>
          <w:tcPr>
            <w:tcW w:type="dxa" w:w="1814"/>
          </w:tcPr>
          <w:p>
            <w:r/>
            <w:r>
              <w:rPr>
                <w:sz w:val="15"/>
              </w:rPr>
            </w:r>
          </w:p>
        </w:tc>
      </w:tr>
      <w:tr>
        <w:trPr>
          <w:cantSplit/>
        </w:trPr>
        <w:tc>
          <w:tcPr>
            <w:tcW w:type="dxa" w:w="510"/>
            <w:shd w:val="clear" w:color="auto" w:fill="F2F6FA"/>
          </w:tcPr>
          <w:p>
            <w:r/>
            <w:r>
              <w:rPr>
                <w:sz w:val="15"/>
              </w:rPr>
              <w:t>28</w:t>
            </w:r>
          </w:p>
        </w:tc>
        <w:tc>
          <w:tcPr>
            <w:tcW w:type="dxa" w:w="3742"/>
            <w:shd w:val="clear" w:color="auto" w:fill="F2F6FA"/>
          </w:tcPr>
          <w:p>
            <w:r/>
            <w:r>
              <w:rPr>
                <w:sz w:val="15"/>
              </w:rPr>
              <w:t>Obtain a geotechnical or temporary-works review before changing support, batter, haul road, working platform or dewatering arrangement after rain.</w:t>
            </w:r>
          </w:p>
        </w:tc>
        <w:tc>
          <w:tcPr>
            <w:tcW w:type="dxa" w:w="3061"/>
            <w:shd w:val="clear" w:color="auto" w:fill="F2F6FA"/>
          </w:tcPr>
          <w:p>
            <w:r/>
            <w:r>
              <w:rPr>
                <w:sz w:val="15"/>
              </w:rPr>
              <w:t>Improvised wet-weather changes invalidate design assumptions and can transfer failure to adjacent property.</w:t>
            </w:r>
          </w:p>
        </w:tc>
        <w:tc>
          <w:tcPr>
            <w:tcW w:type="dxa" w:w="2381"/>
            <w:shd w:val="clear" w:color="auto" w:fill="F2F6FA"/>
          </w:tcPr>
          <w:p>
            <w:r/>
            <w:r>
              <w:rPr>
                <w:sz w:val="15"/>
              </w:rPr>
              <w:t>HSE [T4]; RAK structural regulations [RK3]</w:t>
            </w:r>
          </w:p>
        </w:tc>
        <w:tc>
          <w:tcPr>
            <w:tcW w:type="dxa" w:w="1191"/>
            <w:shd w:val="clear" w:color="auto" w:fill="F2F6FA"/>
          </w:tcPr>
          <w:p>
            <w:r/>
            <w:r>
              <w:rPr>
                <w:sz w:val="15"/>
              </w:rPr>
              <w:t>All UAE</w:t>
            </w:r>
          </w:p>
        </w:tc>
        <w:tc>
          <w:tcPr>
            <w:tcW w:type="dxa" w:w="907"/>
            <w:shd w:val="clear" w:color="auto" w:fill="F2F6FA"/>
          </w:tcPr>
          <w:p>
            <w:r/>
            <w:r>
              <w:rPr>
                <w:sz w:val="15"/>
              </w:rPr>
              <w:t>High</w:t>
            </w:r>
          </w:p>
        </w:tc>
        <w:tc>
          <w:tcPr>
            <w:tcW w:type="dxa" w:w="1134"/>
            <w:shd w:val="clear" w:color="auto" w:fill="F2F6FA"/>
          </w:tcPr>
          <w:p>
            <w:r/>
            <w:r>
              <w:rPr>
                <w:sz w:val="15"/>
              </w:rPr>
            </w:r>
          </w:p>
        </w:tc>
        <w:tc>
          <w:tcPr>
            <w:tcW w:type="dxa" w:w="1814"/>
            <w:shd w:val="clear" w:color="auto" w:fill="F2F6FA"/>
          </w:tcPr>
          <w:p>
            <w:r/>
            <w:r>
              <w:rPr>
                <w:sz w:val="15"/>
              </w:rPr>
            </w:r>
          </w:p>
        </w:tc>
      </w:tr>
      <w:tr>
        <w:trPr>
          <w:cantSplit/>
        </w:trPr>
        <w:tc>
          <w:tcPr>
            <w:tcW w:type="dxa" w:w="510"/>
          </w:tcPr>
          <w:p>
            <w:r/>
            <w:r>
              <w:rPr>
                <w:sz w:val="15"/>
              </w:rPr>
              <w:t>29</w:t>
            </w:r>
          </w:p>
        </w:tc>
        <w:tc>
          <w:tcPr>
            <w:tcW w:type="dxa" w:w="3742"/>
          </w:tcPr>
          <w:p>
            <w:r/>
            <w:r>
              <w:rPr>
                <w:sz w:val="15"/>
              </w:rPr>
              <w:t>Maintain escape ladders and ramps above credible flood level and keep them clear.</w:t>
            </w:r>
          </w:p>
        </w:tc>
        <w:tc>
          <w:tcPr>
            <w:tcW w:type="dxa" w:w="3061"/>
          </w:tcPr>
          <w:p>
            <w:r/>
            <w:r>
              <w:rPr>
                <w:sz w:val="15"/>
              </w:rPr>
              <w:t>A flood can remove the normal exit before a worker reaches it.</w:t>
            </w:r>
          </w:p>
        </w:tc>
        <w:tc>
          <w:tcPr>
            <w:tcW w:type="dxa" w:w="2381"/>
          </w:tcPr>
          <w:p>
            <w:r/>
            <w:r>
              <w:rPr>
                <w:sz w:val="15"/>
              </w:rPr>
              <w:t>ADOSH CoP 29.0 [AD3]; OSHA 2226 [T5]</w:t>
            </w:r>
          </w:p>
        </w:tc>
        <w:tc>
          <w:tcPr>
            <w:tcW w:type="dxa" w:w="1191"/>
          </w:tcPr>
          <w:p>
            <w:r/>
            <w:r>
              <w:rPr>
                <w:sz w:val="15"/>
              </w:rPr>
              <w:t>All UAE</w:t>
            </w:r>
          </w:p>
        </w:tc>
        <w:tc>
          <w:tcPr>
            <w:tcW w:type="dxa" w:w="907"/>
          </w:tcPr>
          <w:p>
            <w:r/>
            <w:r>
              <w:rPr>
                <w:sz w:val="15"/>
              </w:rPr>
              <w:t>Critical</w:t>
            </w:r>
          </w:p>
        </w:tc>
        <w:tc>
          <w:tcPr>
            <w:tcW w:type="dxa" w:w="1134"/>
          </w:tcPr>
          <w:p>
            <w:r/>
            <w:r>
              <w:rPr>
                <w:sz w:val="15"/>
              </w:rPr>
            </w:r>
          </w:p>
        </w:tc>
        <w:tc>
          <w:tcPr>
            <w:tcW w:type="dxa" w:w="1814"/>
          </w:tcPr>
          <w:p>
            <w:r/>
            <w:r>
              <w:rPr>
                <w:sz w:val="15"/>
              </w:rPr>
            </w:r>
          </w:p>
        </w:tc>
      </w:tr>
      <w:tr>
        <w:trPr>
          <w:cantSplit/>
        </w:trPr>
        <w:tc>
          <w:tcPr>
            <w:tcW w:type="dxa" w:w="510"/>
            <w:shd w:val="clear" w:color="auto" w:fill="F2F6FA"/>
          </w:tcPr>
          <w:p>
            <w:r/>
            <w:r>
              <w:rPr>
                <w:sz w:val="15"/>
              </w:rPr>
              <w:t>30</w:t>
            </w:r>
          </w:p>
        </w:tc>
        <w:tc>
          <w:tcPr>
            <w:tcW w:type="dxa" w:w="3742"/>
            <w:shd w:val="clear" w:color="auto" w:fill="F2F6FA"/>
          </w:tcPr>
          <w:p>
            <w:r/>
            <w:r>
              <w:rPr>
                <w:sz w:val="15"/>
              </w:rPr>
              <w:t>Treat flooded shafts, manholes, tanks and storm drains as confined spaces: isolate inflows, test the atmosphere, provide an attendant and plan non-entry rescue.</w:t>
            </w:r>
          </w:p>
        </w:tc>
        <w:tc>
          <w:tcPr>
            <w:tcW w:type="dxa" w:w="3061"/>
            <w:shd w:val="clear" w:color="auto" w:fill="F2F6FA"/>
          </w:tcPr>
          <w:p>
            <w:r/>
            <w:r>
              <w:rPr>
                <w:sz w:val="15"/>
              </w:rPr>
              <w:t>Rain and sewage create rapidly rising water and hazardous atmospheres.</w:t>
            </w:r>
          </w:p>
        </w:tc>
        <w:tc>
          <w:tcPr>
            <w:tcW w:type="dxa" w:w="2381"/>
            <w:shd w:val="clear" w:color="auto" w:fill="F2F6FA"/>
          </w:tcPr>
          <w:p>
            <w:r/>
            <w:r>
              <w:rPr>
                <w:sz w:val="15"/>
              </w:rPr>
              <w:t>HSE L101 [T7]</w:t>
            </w:r>
          </w:p>
        </w:tc>
        <w:tc>
          <w:tcPr>
            <w:tcW w:type="dxa" w:w="1191"/>
            <w:shd w:val="clear" w:color="auto" w:fill="F2F6FA"/>
          </w:tcPr>
          <w:p>
            <w:r/>
            <w:r>
              <w:rPr>
                <w:sz w:val="15"/>
              </w:rPr>
              <w:t>All UAE</w:t>
            </w:r>
          </w:p>
        </w:tc>
        <w:tc>
          <w:tcPr>
            <w:tcW w:type="dxa" w:w="907"/>
            <w:shd w:val="clear" w:color="auto" w:fill="F2F6FA"/>
          </w:tcPr>
          <w:p>
            <w:r/>
            <w:r>
              <w:rPr>
                <w:sz w:val="15"/>
              </w:rPr>
              <w:t>Critical</w:t>
            </w:r>
          </w:p>
        </w:tc>
        <w:tc>
          <w:tcPr>
            <w:tcW w:type="dxa" w:w="1134"/>
            <w:shd w:val="clear" w:color="auto" w:fill="F2F6FA"/>
          </w:tcPr>
          <w:p>
            <w:r/>
            <w:r>
              <w:rPr>
                <w:sz w:val="15"/>
              </w:rPr>
            </w:r>
          </w:p>
        </w:tc>
        <w:tc>
          <w:tcPr>
            <w:tcW w:type="dxa" w:w="1814"/>
            <w:shd w:val="clear" w:color="auto" w:fill="F2F6FA"/>
          </w:tcPr>
          <w:p>
            <w:r/>
            <w:r>
              <w:rPr>
                <w:sz w:val="15"/>
              </w:rPr>
            </w:r>
          </w:p>
        </w:tc>
      </w:tr>
      <w:tr>
        <w:trPr>
          <w:cantSplit/>
        </w:trPr>
        <w:tc>
          <w:tcPr>
            <w:tcW w:type="dxa" w:w="510"/>
          </w:tcPr>
          <w:p>
            <w:r/>
            <w:r>
              <w:rPr>
                <w:sz w:val="15"/>
              </w:rPr>
              <w:t>31</w:t>
            </w:r>
          </w:p>
        </w:tc>
        <w:tc>
          <w:tcPr>
            <w:tcW w:type="dxa" w:w="3742"/>
          </w:tcPr>
          <w:p>
            <w:r/>
            <w:r>
              <w:rPr>
                <w:sz w:val="15"/>
              </w:rPr>
              <w:t>Prohibit rescue entry into a rising-water confined space; call the emergency services and use the planned rescue controls.</w:t>
            </w:r>
          </w:p>
        </w:tc>
        <w:tc>
          <w:tcPr>
            <w:tcW w:type="dxa" w:w="3061"/>
          </w:tcPr>
          <w:p>
            <w:r/>
            <w:r>
              <w:rPr>
                <w:sz w:val="15"/>
              </w:rPr>
              <w:t>Improvised rescuers are at high risk of multiple fatalities.</w:t>
            </w:r>
          </w:p>
        </w:tc>
        <w:tc>
          <w:tcPr>
            <w:tcW w:type="dxa" w:w="2381"/>
          </w:tcPr>
          <w:p>
            <w:r/>
            <w:r>
              <w:rPr>
                <w:sz w:val="15"/>
              </w:rPr>
              <w:t>HSE L101 [T7]; UAE emergency guidance [F12]</w:t>
            </w:r>
          </w:p>
        </w:tc>
        <w:tc>
          <w:tcPr>
            <w:tcW w:type="dxa" w:w="1191"/>
          </w:tcPr>
          <w:p>
            <w:r/>
            <w:r>
              <w:rPr>
                <w:sz w:val="15"/>
              </w:rPr>
              <w:t>All UAE</w:t>
            </w:r>
          </w:p>
        </w:tc>
        <w:tc>
          <w:tcPr>
            <w:tcW w:type="dxa" w:w="907"/>
          </w:tcPr>
          <w:p>
            <w:r/>
            <w:r>
              <w:rPr>
                <w:sz w:val="15"/>
              </w:rPr>
              <w:t>Critical</w:t>
            </w:r>
          </w:p>
        </w:tc>
        <w:tc>
          <w:tcPr>
            <w:tcW w:type="dxa" w:w="1134"/>
          </w:tcPr>
          <w:p>
            <w:r/>
            <w:r>
              <w:rPr>
                <w:sz w:val="15"/>
              </w:rPr>
            </w:r>
          </w:p>
        </w:tc>
        <w:tc>
          <w:tcPr>
            <w:tcW w:type="dxa" w:w="1814"/>
          </w:tcPr>
          <w:p>
            <w:r/>
            <w:r>
              <w:rPr>
                <w:sz w:val="15"/>
              </w:rPr>
            </w:r>
          </w:p>
        </w:tc>
      </w:tr>
      <w:tr>
        <w:trPr>
          <w:cantSplit/>
        </w:trPr>
        <w:tc>
          <w:tcPr>
            <w:tcW w:type="dxa" w:w="510"/>
            <w:shd w:val="clear" w:color="auto" w:fill="F2F6FA"/>
          </w:tcPr>
          <w:p>
            <w:r/>
            <w:r>
              <w:rPr>
                <w:sz w:val="15"/>
              </w:rPr>
              <w:t>32</w:t>
            </w:r>
          </w:p>
        </w:tc>
        <w:tc>
          <w:tcPr>
            <w:tcW w:type="dxa" w:w="3742"/>
            <w:shd w:val="clear" w:color="auto" w:fill="F2F6FA"/>
          </w:tcPr>
          <w:p>
            <w:r/>
            <w:r>
              <w:rPr>
                <w:sz w:val="15"/>
              </w:rPr>
              <w:t>Recheck crane mats, scaffold bases, temporary roads and MEWP platforms for bearing, washout and settlement after saturation.</w:t>
            </w:r>
          </w:p>
        </w:tc>
        <w:tc>
          <w:tcPr>
            <w:tcW w:type="dxa" w:w="3061"/>
            <w:shd w:val="clear" w:color="auto" w:fill="F2F6FA"/>
          </w:tcPr>
          <w:p>
            <w:r/>
            <w:r>
              <w:rPr>
                <w:sz w:val="15"/>
              </w:rPr>
              <w:t>Surface appearance can conceal a soft or undermined layer.</w:t>
            </w:r>
          </w:p>
        </w:tc>
        <w:tc>
          <w:tcPr>
            <w:tcW w:type="dxa" w:w="2381"/>
            <w:shd w:val="clear" w:color="auto" w:fill="F2F6FA"/>
          </w:tcPr>
          <w:p>
            <w:r/>
            <w:r>
              <w:rPr>
                <w:sz w:val="15"/>
              </w:rPr>
              <w:t>HSE [T4]; April 2024 response evidence [EV2]</w:t>
            </w:r>
          </w:p>
        </w:tc>
        <w:tc>
          <w:tcPr>
            <w:tcW w:type="dxa" w:w="1191"/>
            <w:shd w:val="clear" w:color="auto" w:fill="F2F6FA"/>
          </w:tcPr>
          <w:p>
            <w:r/>
            <w:r>
              <w:rPr>
                <w:sz w:val="15"/>
              </w:rPr>
              <w:t>All UAE</w:t>
            </w:r>
          </w:p>
        </w:tc>
        <w:tc>
          <w:tcPr>
            <w:tcW w:type="dxa" w:w="907"/>
            <w:shd w:val="clear" w:color="auto" w:fill="F2F6FA"/>
          </w:tcPr>
          <w:p>
            <w:r/>
            <w:r>
              <w:rPr>
                <w:sz w:val="15"/>
              </w:rPr>
              <w:t>High</w:t>
            </w:r>
          </w:p>
        </w:tc>
        <w:tc>
          <w:tcPr>
            <w:tcW w:type="dxa" w:w="1134"/>
            <w:shd w:val="clear" w:color="auto" w:fill="F2F6FA"/>
          </w:tcPr>
          <w:p>
            <w:r/>
            <w:r>
              <w:rPr>
                <w:sz w:val="15"/>
              </w:rPr>
            </w:r>
          </w:p>
        </w:tc>
        <w:tc>
          <w:tcPr>
            <w:tcW w:type="dxa" w:w="1814"/>
            <w:shd w:val="clear" w:color="auto" w:fill="F2F6FA"/>
          </w:tcPr>
          <w:p>
            <w:r/>
            <w:r>
              <w:rPr>
                <w:sz w:val="15"/>
              </w:rPr>
            </w:r>
          </w:p>
        </w:tc>
      </w:tr>
      <w:tr>
        <w:trPr>
          <w:cantSplit/>
        </w:trPr>
        <w:tc>
          <w:tcPr>
            <w:tcW w:type="dxa" w:w="510"/>
          </w:tcPr>
          <w:p>
            <w:r/>
            <w:r>
              <w:rPr>
                <w:sz w:val="15"/>
              </w:rPr>
              <w:t>33</w:t>
            </w:r>
          </w:p>
        </w:tc>
        <w:tc>
          <w:tcPr>
            <w:tcW w:type="dxa" w:w="3742"/>
          </w:tcPr>
          <w:p>
            <w:r/>
            <w:r>
              <w:rPr>
                <w:sz w:val="15"/>
              </w:rPr>
              <w:t>Ras Al Khaimah: follow the soil report, keep open-cut slopes within 30 degrees unless an approved design permits otherwise, and dewater to at least 1 m below target formation where groundwater sits above it.</w:t>
            </w:r>
          </w:p>
        </w:tc>
        <w:tc>
          <w:tcPr>
            <w:tcW w:type="dxa" w:w="3061"/>
          </w:tcPr>
          <w:p>
            <w:r/>
            <w:r>
              <w:rPr>
                <w:sz w:val="15"/>
              </w:rPr>
              <w:t>These are specific RAK structural-regulation values that must be reflected in the permit and design.</w:t>
            </w:r>
          </w:p>
        </w:tc>
        <w:tc>
          <w:tcPr>
            <w:tcW w:type="dxa" w:w="2381"/>
          </w:tcPr>
          <w:p>
            <w:r/>
            <w:r>
              <w:rPr>
                <w:sz w:val="15"/>
              </w:rPr>
              <w:t>RAK structural regulations [RK3]</w:t>
            </w:r>
          </w:p>
        </w:tc>
        <w:tc>
          <w:tcPr>
            <w:tcW w:type="dxa" w:w="1191"/>
          </w:tcPr>
          <w:p>
            <w:r/>
            <w:r>
              <w:rPr>
                <w:sz w:val="15"/>
              </w:rPr>
              <w:t>Ras Al Khaimah</w:t>
            </w:r>
          </w:p>
        </w:tc>
        <w:tc>
          <w:tcPr>
            <w:tcW w:type="dxa" w:w="907"/>
          </w:tcPr>
          <w:p>
            <w:r/>
            <w:r>
              <w:rPr>
                <w:sz w:val="15"/>
              </w:rPr>
              <w:t>Critical</w:t>
            </w:r>
          </w:p>
        </w:tc>
        <w:tc>
          <w:tcPr>
            <w:tcW w:type="dxa" w:w="1134"/>
          </w:tcPr>
          <w:p>
            <w:r/>
            <w:r>
              <w:rPr>
                <w:sz w:val="15"/>
              </w:rPr>
            </w:r>
          </w:p>
        </w:tc>
        <w:tc>
          <w:tcPr>
            <w:tcW w:type="dxa" w:w="1814"/>
          </w:tcPr>
          <w:p>
            <w:r/>
            <w:r>
              <w:rPr>
                <w:sz w:val="15"/>
              </w:rPr>
            </w:r>
          </w:p>
        </w:tc>
      </w:tr>
      <w:tr>
        <w:trPr>
          <w:cantSplit/>
        </w:trPr>
        <w:tc>
          <w:tcPr>
            <w:tcW w:type="dxa" w:w="510"/>
            <w:shd w:val="clear" w:color="auto" w:fill="F2F6FA"/>
          </w:tcPr>
          <w:p>
            <w:r/>
            <w:r>
              <w:rPr>
                <w:sz w:val="15"/>
              </w:rPr>
              <w:t>34</w:t>
            </w:r>
          </w:p>
        </w:tc>
        <w:tc>
          <w:tcPr>
            <w:tcW w:type="dxa" w:w="3742"/>
            <w:shd w:val="clear" w:color="auto" w:fill="F2F6FA"/>
          </w:tcPr>
          <w:p>
            <w:r/>
            <w:r>
              <w:rPr>
                <w:sz w:val="15"/>
              </w:rPr>
              <w:t>On wadi and mountain sites (Ras Al Khaimah, Fujairah, Al Ain), map the upstream catchment, valley mouths, culverts and safe high ground, and keep laydown, parking and worker routes out of wadis and flow paths.</w:t>
            </w:r>
          </w:p>
        </w:tc>
        <w:tc>
          <w:tcPr>
            <w:tcW w:type="dxa" w:w="3061"/>
            <w:shd w:val="clear" w:color="auto" w:fill="F2F6FA"/>
          </w:tcPr>
          <w:p>
            <w:r/>
            <w:r>
              <w:rPr>
                <w:sz w:val="15"/>
              </w:rPr>
              <w:t>Runoff and debris can arrive from storms outside the worksite, even when rain at the plot is light.</w:t>
            </w:r>
          </w:p>
        </w:tc>
        <w:tc>
          <w:tcPr>
            <w:tcW w:type="dxa" w:w="2381"/>
            <w:shd w:val="clear" w:color="auto" w:fill="F2F6FA"/>
          </w:tcPr>
          <w:p>
            <w:r/>
            <w:r>
              <w:rPr>
                <w:sz w:val="15"/>
              </w:rPr>
              <w:t>RAK Sustainable Community Guidelines [RK7]; Fujairah PWAD [FU2]; NCEMA [F4]</w:t>
            </w:r>
          </w:p>
        </w:tc>
        <w:tc>
          <w:tcPr>
            <w:tcW w:type="dxa" w:w="1191"/>
            <w:shd w:val="clear" w:color="auto" w:fill="F2F6FA"/>
          </w:tcPr>
          <w:p>
            <w:r/>
            <w:r>
              <w:rPr>
                <w:sz w:val="15"/>
              </w:rPr>
              <w:t>RAK / Fujairah / Al Ain</w:t>
            </w:r>
          </w:p>
        </w:tc>
        <w:tc>
          <w:tcPr>
            <w:tcW w:type="dxa" w:w="907"/>
            <w:shd w:val="clear" w:color="auto" w:fill="F2F6FA"/>
          </w:tcPr>
          <w:p>
            <w:r/>
            <w:r>
              <w:rPr>
                <w:sz w:val="15"/>
              </w:rPr>
              <w:t>Critical</w:t>
            </w:r>
          </w:p>
        </w:tc>
        <w:tc>
          <w:tcPr>
            <w:tcW w:type="dxa" w:w="1134"/>
            <w:shd w:val="clear" w:color="auto" w:fill="F2F6FA"/>
          </w:tcPr>
          <w:p>
            <w:r/>
            <w:r>
              <w:rPr>
                <w:sz w:val="15"/>
              </w:rPr>
            </w:r>
          </w:p>
        </w:tc>
        <w:tc>
          <w:tcPr>
            <w:tcW w:type="dxa" w:w="1814"/>
            <w:shd w:val="clear" w:color="auto" w:fill="F2F6FA"/>
          </w:tcPr>
          <w:p>
            <w:r/>
            <w:r>
              <w:rPr>
                <w:sz w:val="15"/>
              </w:rPr>
            </w:r>
          </w:p>
        </w:tc>
      </w:tr>
    </w:tbl>
    <w:p/>
    <w:p>
      <w:pPr>
        <w:pStyle w:val="Heading2"/>
      </w:pPr>
      <w:r>
        <w:t>D. Electrical Safety &amp; Temporary Power</w:t>
      </w:r>
    </w:p>
    <w:tbl>
      <w:tblPr>
        <w:tblStyle w:val="TableGrid"/>
        <w:tblW w:type="auto" w:w="0"/>
        <w:jc w:val="center"/>
        <w:tblLook w:firstColumn="1" w:firstRow="1" w:lastColumn="0" w:lastRow="0" w:noHBand="0" w:noVBand="1" w:val="04A0"/>
        <w:tblLayout w:type="fixed"/>
      </w:tblPr>
      <w:tblGrid>
        <w:gridCol w:w="510"/>
        <w:gridCol w:w="3742"/>
        <w:gridCol w:w="3062"/>
        <w:gridCol w:w="2381"/>
        <w:gridCol w:w="1191"/>
        <w:gridCol w:w="907"/>
        <w:gridCol w:w="1134"/>
        <w:gridCol w:w="1814"/>
      </w:tblGrid>
      <w:tr>
        <w:trPr>
          <w:cantSplit/>
        </w:trPr>
        <w:tc>
          <w:tcPr>
            <w:tcW w:type="dxa" w:w="510"/>
            <w:shd w:val="clear" w:color="auto" w:fill="126E6E"/>
          </w:tcPr>
          <w:p>
            <w:r/>
            <w:r>
              <w:rPr>
                <w:b/>
                <w:color w:val="FFFFFF"/>
                <w:sz w:val="15"/>
              </w:rPr>
              <w:t>#</w:t>
            </w:r>
          </w:p>
        </w:tc>
        <w:tc>
          <w:tcPr>
            <w:tcW w:type="dxa" w:w="3742"/>
            <w:shd w:val="clear" w:color="auto" w:fill="126E6E"/>
          </w:tcPr>
          <w:p>
            <w:r/>
            <w:r>
              <w:rPr>
                <w:b/>
                <w:color w:val="FFFFFF"/>
                <w:sz w:val="15"/>
              </w:rPr>
              <w:t>Check item</w:t>
            </w:r>
          </w:p>
        </w:tc>
        <w:tc>
          <w:tcPr>
            <w:tcW w:type="dxa" w:w="3061"/>
            <w:shd w:val="clear" w:color="auto" w:fill="126E6E"/>
          </w:tcPr>
          <w:p>
            <w:r/>
            <w:r>
              <w:rPr>
                <w:b/>
                <w:color w:val="FFFFFF"/>
                <w:sz w:val="15"/>
              </w:rPr>
              <w:t>Why it matters (risk)</w:t>
            </w:r>
          </w:p>
        </w:tc>
        <w:tc>
          <w:tcPr>
            <w:tcW w:type="dxa" w:w="2381"/>
            <w:shd w:val="clear" w:color="auto" w:fill="126E6E"/>
          </w:tcPr>
          <w:p>
            <w:r/>
            <w:r>
              <w:rPr>
                <w:b/>
                <w:color w:val="FFFFFF"/>
                <w:sz w:val="15"/>
              </w:rPr>
              <w:t>Authority / source reference</w:t>
            </w:r>
          </w:p>
        </w:tc>
        <w:tc>
          <w:tcPr>
            <w:tcW w:type="dxa" w:w="1191"/>
            <w:shd w:val="clear" w:color="auto" w:fill="126E6E"/>
          </w:tcPr>
          <w:p>
            <w:r/>
            <w:r>
              <w:rPr>
                <w:b/>
                <w:color w:val="FFFFFF"/>
                <w:sz w:val="15"/>
              </w:rPr>
              <w:t>Applies to</w:t>
            </w:r>
          </w:p>
        </w:tc>
        <w:tc>
          <w:tcPr>
            <w:tcW w:type="dxa" w:w="907"/>
            <w:shd w:val="clear" w:color="auto" w:fill="126E6E"/>
          </w:tcPr>
          <w:p>
            <w:r/>
            <w:r>
              <w:rPr>
                <w:b/>
                <w:color w:val="FFFFFF"/>
                <w:sz w:val="15"/>
              </w:rPr>
              <w:t>Priority</w:t>
            </w:r>
          </w:p>
        </w:tc>
        <w:tc>
          <w:tcPr>
            <w:tcW w:type="dxa" w:w="1134"/>
            <w:shd w:val="clear" w:color="auto" w:fill="126E6E"/>
          </w:tcPr>
          <w:p>
            <w:r/>
            <w:r>
              <w:rPr>
                <w:b/>
                <w:color w:val="FFFFFF"/>
                <w:sz w:val="15"/>
              </w:rPr>
              <w:t>Status / initials</w:t>
            </w:r>
          </w:p>
        </w:tc>
        <w:tc>
          <w:tcPr>
            <w:tcW w:type="dxa" w:w="1814"/>
            <w:shd w:val="clear" w:color="auto" w:fill="126E6E"/>
          </w:tcPr>
          <w:p>
            <w:r/>
            <w:r>
              <w:rPr>
                <w:b/>
                <w:color w:val="FFFFFF"/>
                <w:sz w:val="15"/>
              </w:rPr>
              <w:t>Evidence reference</w:t>
            </w:r>
          </w:p>
        </w:tc>
      </w:tr>
      <w:tr>
        <w:trPr>
          <w:cantSplit/>
        </w:trPr>
        <w:tc>
          <w:tcPr>
            <w:tcW w:type="dxa" w:w="510"/>
          </w:tcPr>
          <w:p>
            <w:r/>
            <w:r>
              <w:rPr>
                <w:sz w:val="15"/>
              </w:rPr>
              <w:t>35</w:t>
            </w:r>
          </w:p>
        </w:tc>
        <w:tc>
          <w:tcPr>
            <w:tcW w:type="dxa" w:w="3742"/>
          </w:tcPr>
          <w:p>
            <w:r/>
            <w:r>
              <w:rPr>
                <w:sz w:val="15"/>
              </w:rPr>
              <w:t>Maintain a current controlled single-line diagram covering all temporary distribution and isolation points.</w:t>
            </w:r>
          </w:p>
        </w:tc>
        <w:tc>
          <w:tcPr>
            <w:tcW w:type="dxa" w:w="3061"/>
          </w:tcPr>
          <w:p>
            <w:r/>
            <w:r>
              <w:rPr>
                <w:sz w:val="15"/>
              </w:rPr>
              <w:t>Rapid isolation and post-event testing are impossible when circuits cannot be traced.</w:t>
            </w:r>
          </w:p>
        </w:tc>
        <w:tc>
          <w:tcPr>
            <w:tcW w:type="dxa" w:w="2381"/>
          </w:tcPr>
          <w:p>
            <w:r/>
            <w:r>
              <w:rPr>
                <w:sz w:val="15"/>
              </w:rPr>
              <w:t>IEC 60364-7-704 [T1]; HSE HSG141 [T2]</w:t>
            </w:r>
          </w:p>
        </w:tc>
        <w:tc>
          <w:tcPr>
            <w:tcW w:type="dxa" w:w="1191"/>
          </w:tcPr>
          <w:p>
            <w:r/>
            <w:r>
              <w:rPr>
                <w:sz w:val="15"/>
              </w:rPr>
              <w:t>All UAE</w:t>
            </w:r>
          </w:p>
        </w:tc>
        <w:tc>
          <w:tcPr>
            <w:tcW w:type="dxa" w:w="907"/>
          </w:tcPr>
          <w:p>
            <w:r/>
            <w:r>
              <w:rPr>
                <w:sz w:val="15"/>
              </w:rPr>
              <w:t>High</w:t>
            </w:r>
          </w:p>
        </w:tc>
        <w:tc>
          <w:tcPr>
            <w:tcW w:type="dxa" w:w="1134"/>
          </w:tcPr>
          <w:p>
            <w:r/>
            <w:r>
              <w:rPr>
                <w:sz w:val="15"/>
              </w:rPr>
            </w:r>
          </w:p>
        </w:tc>
        <w:tc>
          <w:tcPr>
            <w:tcW w:type="dxa" w:w="1814"/>
          </w:tcPr>
          <w:p>
            <w:r/>
            <w:r>
              <w:rPr>
                <w:sz w:val="15"/>
              </w:rPr>
            </w:r>
          </w:p>
        </w:tc>
      </w:tr>
      <w:tr>
        <w:trPr>
          <w:cantSplit/>
        </w:trPr>
        <w:tc>
          <w:tcPr>
            <w:tcW w:type="dxa" w:w="510"/>
            <w:shd w:val="clear" w:color="auto" w:fill="F2F6FA"/>
          </w:tcPr>
          <w:p>
            <w:r/>
            <w:r>
              <w:rPr>
                <w:sz w:val="15"/>
              </w:rPr>
              <w:t>36</w:t>
            </w:r>
          </w:p>
        </w:tc>
        <w:tc>
          <w:tcPr>
            <w:tcW w:type="dxa" w:w="3742"/>
            <w:shd w:val="clear" w:color="auto" w:fill="F2F6FA"/>
          </w:tcPr>
          <w:p>
            <w:r/>
            <w:r>
              <w:rPr>
                <w:sz w:val="15"/>
              </w:rPr>
              <w:t>Elevate distribution boards, generators, transformers, welders, joints and cable reels above credible flood and ponding level.</w:t>
            </w:r>
          </w:p>
        </w:tc>
        <w:tc>
          <w:tcPr>
            <w:tcW w:type="dxa" w:w="3061"/>
            <w:shd w:val="clear" w:color="auto" w:fill="F2F6FA"/>
          </w:tcPr>
          <w:p>
            <w:r/>
            <w:r>
              <w:rPr>
                <w:sz w:val="15"/>
              </w:rPr>
              <w:t>Reduces water ingress, shock, fire and equipment-failure risk.</w:t>
            </w:r>
          </w:p>
        </w:tc>
        <w:tc>
          <w:tcPr>
            <w:tcW w:type="dxa" w:w="2381"/>
            <w:shd w:val="clear" w:color="auto" w:fill="F2F6FA"/>
          </w:tcPr>
          <w:p>
            <w:r/>
            <w:r>
              <w:rPr>
                <w:sz w:val="15"/>
              </w:rPr>
              <w:t>ADOSH CoP 15.0 [AD4]; DEWA rainy-season guidance [DB5]</w:t>
            </w:r>
          </w:p>
        </w:tc>
        <w:tc>
          <w:tcPr>
            <w:tcW w:type="dxa" w:w="1191"/>
            <w:shd w:val="clear" w:color="auto" w:fill="F2F6FA"/>
          </w:tcPr>
          <w:p>
            <w:r/>
            <w:r>
              <w:rPr>
                <w:sz w:val="15"/>
              </w:rPr>
              <w:t>All UAE</w:t>
            </w:r>
          </w:p>
        </w:tc>
        <w:tc>
          <w:tcPr>
            <w:tcW w:type="dxa" w:w="907"/>
            <w:shd w:val="clear" w:color="auto" w:fill="F2F6FA"/>
          </w:tcPr>
          <w:p>
            <w:r/>
            <w:r>
              <w:rPr>
                <w:sz w:val="15"/>
              </w:rPr>
              <w:t>Critical</w:t>
            </w:r>
          </w:p>
        </w:tc>
        <w:tc>
          <w:tcPr>
            <w:tcW w:type="dxa" w:w="1134"/>
            <w:shd w:val="clear" w:color="auto" w:fill="F2F6FA"/>
          </w:tcPr>
          <w:p>
            <w:r/>
            <w:r>
              <w:rPr>
                <w:sz w:val="15"/>
              </w:rPr>
            </w:r>
          </w:p>
        </w:tc>
        <w:tc>
          <w:tcPr>
            <w:tcW w:type="dxa" w:w="1814"/>
            <w:shd w:val="clear" w:color="auto" w:fill="F2F6FA"/>
          </w:tcPr>
          <w:p>
            <w:r/>
            <w:r>
              <w:rPr>
                <w:sz w:val="15"/>
              </w:rPr>
            </w:r>
          </w:p>
        </w:tc>
      </w:tr>
      <w:tr>
        <w:trPr>
          <w:cantSplit/>
        </w:trPr>
        <w:tc>
          <w:tcPr>
            <w:tcW w:type="dxa" w:w="510"/>
          </w:tcPr>
          <w:p>
            <w:r/>
            <w:r>
              <w:rPr>
                <w:sz w:val="15"/>
              </w:rPr>
              <w:t>37</w:t>
            </w:r>
          </w:p>
        </w:tc>
        <w:tc>
          <w:tcPr>
            <w:tcW w:type="dxa" w:w="3742"/>
          </w:tcPr>
          <w:p>
            <w:r/>
            <w:r>
              <w:rPr>
                <w:sz w:val="15"/>
              </w:rPr>
              <w:t>Use enclosures, couplers and cable routes suited to the actual wet exposure and keep joints out of puddles and traffic routes.</w:t>
            </w:r>
          </w:p>
        </w:tc>
        <w:tc>
          <w:tcPr>
            <w:tcW w:type="dxa" w:w="3061"/>
          </w:tcPr>
          <w:p>
            <w:r/>
            <w:r>
              <w:rPr>
                <w:sz w:val="15"/>
              </w:rPr>
              <w:t>An IP rating does not make damaged or immersed equipment safe.</w:t>
            </w:r>
          </w:p>
        </w:tc>
        <w:tc>
          <w:tcPr>
            <w:tcW w:type="dxa" w:w="2381"/>
          </w:tcPr>
          <w:p>
            <w:r/>
            <w:r>
              <w:rPr>
                <w:sz w:val="15"/>
              </w:rPr>
              <w:t>IEC 60364-7-704 [T1]; HSE HSG141 [T2]</w:t>
            </w:r>
          </w:p>
        </w:tc>
        <w:tc>
          <w:tcPr>
            <w:tcW w:type="dxa" w:w="1191"/>
          </w:tcPr>
          <w:p>
            <w:r/>
            <w:r>
              <w:rPr>
                <w:sz w:val="15"/>
              </w:rPr>
              <w:t>All UAE</w:t>
            </w:r>
          </w:p>
        </w:tc>
        <w:tc>
          <w:tcPr>
            <w:tcW w:type="dxa" w:w="907"/>
          </w:tcPr>
          <w:p>
            <w:r/>
            <w:r>
              <w:rPr>
                <w:sz w:val="15"/>
              </w:rPr>
              <w:t>High</w:t>
            </w:r>
          </w:p>
        </w:tc>
        <w:tc>
          <w:tcPr>
            <w:tcW w:type="dxa" w:w="1134"/>
          </w:tcPr>
          <w:p>
            <w:r/>
            <w:r>
              <w:rPr>
                <w:sz w:val="15"/>
              </w:rPr>
            </w:r>
          </w:p>
        </w:tc>
        <w:tc>
          <w:tcPr>
            <w:tcW w:type="dxa" w:w="1814"/>
          </w:tcPr>
          <w:p>
            <w:r/>
            <w:r>
              <w:rPr>
                <w:sz w:val="15"/>
              </w:rPr>
            </w:r>
          </w:p>
        </w:tc>
      </w:tr>
      <w:tr>
        <w:trPr>
          <w:cantSplit/>
        </w:trPr>
        <w:tc>
          <w:tcPr>
            <w:tcW w:type="dxa" w:w="510"/>
            <w:shd w:val="clear" w:color="auto" w:fill="F2F6FA"/>
          </w:tcPr>
          <w:p>
            <w:r/>
            <w:r>
              <w:rPr>
                <w:sz w:val="15"/>
              </w:rPr>
              <w:t>38</w:t>
            </w:r>
          </w:p>
        </w:tc>
        <w:tc>
          <w:tcPr>
            <w:tcW w:type="dxa" w:w="3742"/>
            <w:shd w:val="clear" w:color="auto" w:fill="F2F6FA"/>
          </w:tcPr>
          <w:p>
            <w:r/>
            <w:r>
              <w:rPr>
                <w:sz w:val="15"/>
              </w:rPr>
              <w:t>Provide RCD, RCBO or GFCI protection, earthing and bonding, and routine functional testing with recorded results.</w:t>
            </w:r>
          </w:p>
        </w:tc>
        <w:tc>
          <w:tcPr>
            <w:tcW w:type="dxa" w:w="3061"/>
            <w:shd w:val="clear" w:color="auto" w:fill="F2F6FA"/>
          </w:tcPr>
          <w:p>
            <w:r/>
            <w:r>
              <w:rPr>
                <w:sz w:val="15"/>
              </w:rPr>
              <w:t>Residual-current protection complements but never replaces earthing and inspection.</w:t>
            </w:r>
          </w:p>
        </w:tc>
        <w:tc>
          <w:tcPr>
            <w:tcW w:type="dxa" w:w="2381"/>
            <w:shd w:val="clear" w:color="auto" w:fill="F2F6FA"/>
          </w:tcPr>
          <w:p>
            <w:r/>
            <w:r>
              <w:rPr>
                <w:sz w:val="15"/>
              </w:rPr>
              <w:t>ADOSH CoP 15.0 [AD4]; IEC 60364-7-704 [T1]</w:t>
            </w:r>
          </w:p>
        </w:tc>
        <w:tc>
          <w:tcPr>
            <w:tcW w:type="dxa" w:w="1191"/>
            <w:shd w:val="clear" w:color="auto" w:fill="F2F6FA"/>
          </w:tcPr>
          <w:p>
            <w:r/>
            <w:r>
              <w:rPr>
                <w:sz w:val="15"/>
              </w:rPr>
              <w:t>All UAE</w:t>
            </w:r>
          </w:p>
        </w:tc>
        <w:tc>
          <w:tcPr>
            <w:tcW w:type="dxa" w:w="907"/>
            <w:shd w:val="clear" w:color="auto" w:fill="F2F6FA"/>
          </w:tcPr>
          <w:p>
            <w:r/>
            <w:r>
              <w:rPr>
                <w:sz w:val="15"/>
              </w:rPr>
              <w:t>Critical</w:t>
            </w:r>
          </w:p>
        </w:tc>
        <w:tc>
          <w:tcPr>
            <w:tcW w:type="dxa" w:w="1134"/>
            <w:shd w:val="clear" w:color="auto" w:fill="F2F6FA"/>
          </w:tcPr>
          <w:p>
            <w:r/>
            <w:r>
              <w:rPr>
                <w:sz w:val="15"/>
              </w:rPr>
            </w:r>
          </w:p>
        </w:tc>
        <w:tc>
          <w:tcPr>
            <w:tcW w:type="dxa" w:w="1814"/>
            <w:shd w:val="clear" w:color="auto" w:fill="F2F6FA"/>
          </w:tcPr>
          <w:p>
            <w:r/>
            <w:r>
              <w:rPr>
                <w:sz w:val="15"/>
              </w:rPr>
            </w:r>
          </w:p>
        </w:tc>
      </w:tr>
      <w:tr>
        <w:trPr>
          <w:cantSplit/>
        </w:trPr>
        <w:tc>
          <w:tcPr>
            <w:tcW w:type="dxa" w:w="510"/>
          </w:tcPr>
          <w:p>
            <w:r/>
            <w:r>
              <w:rPr>
                <w:sz w:val="15"/>
              </w:rPr>
              <w:t>39</w:t>
            </w:r>
          </w:p>
        </w:tc>
        <w:tc>
          <w:tcPr>
            <w:tcW w:type="dxa" w:w="3742"/>
          </w:tcPr>
          <w:p>
            <w:r/>
            <w:r>
              <w:rPr>
                <w:sz w:val="15"/>
              </w:rPr>
              <w:t>Abu Dhabi: verify the ADOSH temporary 110 V construction-supply and residual-current protection requirements. Treat 110 V as an emirate and design control, not a national rule.</w:t>
            </w:r>
          </w:p>
        </w:tc>
        <w:tc>
          <w:tcPr>
            <w:tcW w:type="dxa" w:w="3061"/>
          </w:tcPr>
          <w:p>
            <w:r/>
            <w:r>
              <w:rPr>
                <w:sz w:val="15"/>
              </w:rPr>
              <w:t>Applying a UK or single-emirate practice nationally can create a false compliance claim.</w:t>
            </w:r>
          </w:p>
        </w:tc>
        <w:tc>
          <w:tcPr>
            <w:tcW w:type="dxa" w:w="2381"/>
          </w:tcPr>
          <w:p>
            <w:r/>
            <w:r>
              <w:rPr>
                <w:sz w:val="15"/>
              </w:rPr>
              <w:t>ADOSH CoP 15.0 [AD4]; IEC 60364-7-704 [T1]</w:t>
            </w:r>
          </w:p>
        </w:tc>
        <w:tc>
          <w:tcPr>
            <w:tcW w:type="dxa" w:w="1191"/>
          </w:tcPr>
          <w:p>
            <w:r/>
            <w:r>
              <w:rPr>
                <w:sz w:val="15"/>
              </w:rPr>
              <w:t>Abu Dhabi</w:t>
            </w:r>
          </w:p>
        </w:tc>
        <w:tc>
          <w:tcPr>
            <w:tcW w:type="dxa" w:w="907"/>
          </w:tcPr>
          <w:p>
            <w:r/>
            <w:r>
              <w:rPr>
                <w:sz w:val="15"/>
              </w:rPr>
              <w:t>High</w:t>
            </w:r>
          </w:p>
        </w:tc>
        <w:tc>
          <w:tcPr>
            <w:tcW w:type="dxa" w:w="1134"/>
          </w:tcPr>
          <w:p>
            <w:r/>
            <w:r>
              <w:rPr>
                <w:sz w:val="15"/>
              </w:rPr>
            </w:r>
          </w:p>
        </w:tc>
        <w:tc>
          <w:tcPr>
            <w:tcW w:type="dxa" w:w="1814"/>
          </w:tcPr>
          <w:p>
            <w:r/>
            <w:r>
              <w:rPr>
                <w:sz w:val="15"/>
              </w:rPr>
            </w:r>
          </w:p>
        </w:tc>
      </w:tr>
      <w:tr>
        <w:trPr>
          <w:cantSplit/>
        </w:trPr>
        <w:tc>
          <w:tcPr>
            <w:tcW w:type="dxa" w:w="510"/>
            <w:shd w:val="clear" w:color="auto" w:fill="F2F6FA"/>
          </w:tcPr>
          <w:p>
            <w:r/>
            <w:r>
              <w:rPr>
                <w:sz w:val="15"/>
              </w:rPr>
              <w:t>40</w:t>
            </w:r>
          </w:p>
        </w:tc>
        <w:tc>
          <w:tcPr>
            <w:tcW w:type="dxa" w:w="3742"/>
            <w:shd w:val="clear" w:color="auto" w:fill="F2F6FA"/>
          </w:tcPr>
          <w:p>
            <w:r/>
            <w:r>
              <w:rPr>
                <w:sz w:val="15"/>
              </w:rPr>
              <w:t>Use only authority-approved temporary connections and registered or competent electrical contractors where required.</w:t>
            </w:r>
          </w:p>
        </w:tc>
        <w:tc>
          <w:tcPr>
            <w:tcW w:type="dxa" w:w="3061"/>
            <w:shd w:val="clear" w:color="auto" w:fill="F2F6FA"/>
          </w:tcPr>
          <w:p>
            <w:r/>
            <w:r>
              <w:rPr>
                <w:sz w:val="15"/>
              </w:rPr>
              <w:t>Utility or free-zone approval is separate from a contractor's internal HSE inspection.</w:t>
            </w:r>
          </w:p>
        </w:tc>
        <w:tc>
          <w:tcPr>
            <w:tcW w:type="dxa" w:w="2381"/>
            <w:shd w:val="clear" w:color="auto" w:fill="F2F6FA"/>
          </w:tcPr>
          <w:p>
            <w:r/>
            <w:r>
              <w:rPr>
                <w:sz w:val="15"/>
              </w:rPr>
              <w:t>SEWA [SH4]; RAKEZ HS&amp;E Regulations [RK6]; EtihadWE [FU4]</w:t>
            </w:r>
          </w:p>
        </w:tc>
        <w:tc>
          <w:tcPr>
            <w:tcW w:type="dxa" w:w="1191"/>
            <w:shd w:val="clear" w:color="auto" w:fill="F2F6FA"/>
          </w:tcPr>
          <w:p>
            <w:r/>
            <w:r>
              <w:rPr>
                <w:sz w:val="15"/>
              </w:rPr>
              <w:t>All UAE</w:t>
            </w:r>
          </w:p>
        </w:tc>
        <w:tc>
          <w:tcPr>
            <w:tcW w:type="dxa" w:w="907"/>
            <w:shd w:val="clear" w:color="auto" w:fill="F2F6FA"/>
          </w:tcPr>
          <w:p>
            <w:r/>
            <w:r>
              <w:rPr>
                <w:sz w:val="15"/>
              </w:rPr>
              <w:t>High</w:t>
            </w:r>
          </w:p>
        </w:tc>
        <w:tc>
          <w:tcPr>
            <w:tcW w:type="dxa" w:w="1134"/>
            <w:shd w:val="clear" w:color="auto" w:fill="F2F6FA"/>
          </w:tcPr>
          <w:p>
            <w:r/>
            <w:r>
              <w:rPr>
                <w:sz w:val="15"/>
              </w:rPr>
            </w:r>
          </w:p>
        </w:tc>
        <w:tc>
          <w:tcPr>
            <w:tcW w:type="dxa" w:w="1814"/>
            <w:shd w:val="clear" w:color="auto" w:fill="F2F6FA"/>
          </w:tcPr>
          <w:p>
            <w:r/>
            <w:r>
              <w:rPr>
                <w:sz w:val="15"/>
              </w:rPr>
            </w:r>
          </w:p>
        </w:tc>
      </w:tr>
      <w:tr>
        <w:trPr>
          <w:cantSplit/>
        </w:trPr>
        <w:tc>
          <w:tcPr>
            <w:tcW w:type="dxa" w:w="510"/>
          </w:tcPr>
          <w:p>
            <w:r/>
            <w:r>
              <w:rPr>
                <w:sz w:val="15"/>
              </w:rPr>
              <w:t>41</w:t>
            </w:r>
          </w:p>
        </w:tc>
        <w:tc>
          <w:tcPr>
            <w:tcW w:type="dxa" w:w="3742"/>
          </w:tcPr>
          <w:p>
            <w:r/>
            <w:r>
              <w:rPr>
                <w:sz w:val="15"/>
              </w:rPr>
              <w:t>Isolate, lock and tag, and prove dead any flooded or water-affected circuit before access or drying.</w:t>
            </w:r>
          </w:p>
        </w:tc>
        <w:tc>
          <w:tcPr>
            <w:tcW w:type="dxa" w:w="3061"/>
          </w:tcPr>
          <w:p>
            <w:r/>
            <w:r>
              <w:rPr>
                <w:sz w:val="15"/>
              </w:rPr>
              <w:t>Wet equipment can remain energised; a trip or power loss is not proof of isolation.</w:t>
            </w:r>
          </w:p>
        </w:tc>
        <w:tc>
          <w:tcPr>
            <w:tcW w:type="dxa" w:w="2381"/>
          </w:tcPr>
          <w:p>
            <w:r/>
            <w:r>
              <w:rPr>
                <w:sz w:val="15"/>
              </w:rPr>
              <w:t>DEWA guidance [DB5]; HSE HSG141 [T2]</w:t>
            </w:r>
          </w:p>
        </w:tc>
        <w:tc>
          <w:tcPr>
            <w:tcW w:type="dxa" w:w="1191"/>
          </w:tcPr>
          <w:p>
            <w:r/>
            <w:r>
              <w:rPr>
                <w:sz w:val="15"/>
              </w:rPr>
              <w:t>All UAE</w:t>
            </w:r>
          </w:p>
        </w:tc>
        <w:tc>
          <w:tcPr>
            <w:tcW w:type="dxa" w:w="907"/>
          </w:tcPr>
          <w:p>
            <w:r/>
            <w:r>
              <w:rPr>
                <w:sz w:val="15"/>
              </w:rPr>
              <w:t>Critical</w:t>
            </w:r>
          </w:p>
        </w:tc>
        <w:tc>
          <w:tcPr>
            <w:tcW w:type="dxa" w:w="1134"/>
          </w:tcPr>
          <w:p>
            <w:r/>
            <w:r>
              <w:rPr>
                <w:sz w:val="15"/>
              </w:rPr>
            </w:r>
          </w:p>
        </w:tc>
        <w:tc>
          <w:tcPr>
            <w:tcW w:type="dxa" w:w="1814"/>
          </w:tcPr>
          <w:p>
            <w:r/>
            <w:r>
              <w:rPr>
                <w:sz w:val="15"/>
              </w:rPr>
            </w:r>
          </w:p>
        </w:tc>
      </w:tr>
      <w:tr>
        <w:trPr>
          <w:cantSplit/>
        </w:trPr>
        <w:tc>
          <w:tcPr>
            <w:tcW w:type="dxa" w:w="510"/>
            <w:shd w:val="clear" w:color="auto" w:fill="F2F6FA"/>
          </w:tcPr>
          <w:p>
            <w:r/>
            <w:r>
              <w:rPr>
                <w:sz w:val="15"/>
              </w:rPr>
              <w:t>42</w:t>
            </w:r>
          </w:p>
        </w:tc>
        <w:tc>
          <w:tcPr>
            <w:tcW w:type="dxa" w:w="3742"/>
            <w:shd w:val="clear" w:color="auto" w:fill="F2F6FA"/>
          </w:tcPr>
          <w:p>
            <w:r/>
            <w:r>
              <w:rPr>
                <w:sz w:val="15"/>
              </w:rPr>
              <w:t>Quarantine submerged equipment of unknown condition and test, repair or replace it before return to service; drying is not a test.</w:t>
            </w:r>
          </w:p>
        </w:tc>
        <w:tc>
          <w:tcPr>
            <w:tcW w:type="dxa" w:w="3061"/>
            <w:shd w:val="clear" w:color="auto" w:fill="F2F6FA"/>
          </w:tcPr>
          <w:p>
            <w:r/>
            <w:r>
              <w:rPr>
                <w:sz w:val="15"/>
              </w:rPr>
              <w:t>Drying alone does not establish insulation, earthing, enclosure or downstream integrity.</w:t>
            </w:r>
          </w:p>
        </w:tc>
        <w:tc>
          <w:tcPr>
            <w:tcW w:type="dxa" w:w="2381"/>
            <w:shd w:val="clear" w:color="auto" w:fill="F2F6FA"/>
          </w:tcPr>
          <w:p>
            <w:r/>
            <w:r>
              <w:rPr>
                <w:sz w:val="15"/>
              </w:rPr>
              <w:t>IET Code of Practice [T3]; DEWA guidance [DB5]</w:t>
            </w:r>
          </w:p>
        </w:tc>
        <w:tc>
          <w:tcPr>
            <w:tcW w:type="dxa" w:w="1191"/>
            <w:shd w:val="clear" w:color="auto" w:fill="F2F6FA"/>
          </w:tcPr>
          <w:p>
            <w:r/>
            <w:r>
              <w:rPr>
                <w:sz w:val="15"/>
              </w:rPr>
              <w:t>All UAE</w:t>
            </w:r>
          </w:p>
        </w:tc>
        <w:tc>
          <w:tcPr>
            <w:tcW w:type="dxa" w:w="907"/>
            <w:shd w:val="clear" w:color="auto" w:fill="F2F6FA"/>
          </w:tcPr>
          <w:p>
            <w:r/>
            <w:r>
              <w:rPr>
                <w:sz w:val="15"/>
              </w:rPr>
              <w:t>High</w:t>
            </w:r>
          </w:p>
        </w:tc>
        <w:tc>
          <w:tcPr>
            <w:tcW w:type="dxa" w:w="1134"/>
            <w:shd w:val="clear" w:color="auto" w:fill="F2F6FA"/>
          </w:tcPr>
          <w:p>
            <w:r/>
            <w:r>
              <w:rPr>
                <w:sz w:val="15"/>
              </w:rPr>
            </w:r>
          </w:p>
        </w:tc>
        <w:tc>
          <w:tcPr>
            <w:tcW w:type="dxa" w:w="1814"/>
            <w:shd w:val="clear" w:color="auto" w:fill="F2F6FA"/>
          </w:tcPr>
          <w:p>
            <w:r/>
            <w:r>
              <w:rPr>
                <w:sz w:val="15"/>
              </w:rPr>
            </w:r>
          </w:p>
        </w:tc>
      </w:tr>
      <w:tr>
        <w:trPr>
          <w:cantSplit/>
        </w:trPr>
        <w:tc>
          <w:tcPr>
            <w:tcW w:type="dxa" w:w="510"/>
          </w:tcPr>
          <w:p>
            <w:r/>
            <w:r>
              <w:rPr>
                <w:sz w:val="15"/>
              </w:rPr>
              <w:t>43</w:t>
            </w:r>
          </w:p>
        </w:tc>
        <w:tc>
          <w:tcPr>
            <w:tcW w:type="dxa" w:w="3742"/>
          </w:tcPr>
          <w:p>
            <w:r/>
            <w:r>
              <w:rPr>
                <w:sz w:val="15"/>
              </w:rPr>
              <w:t>Require a competent electrician's recorded inspection and test before re-energisation after any water ingress.</w:t>
            </w:r>
          </w:p>
        </w:tc>
        <w:tc>
          <w:tcPr>
            <w:tcW w:type="dxa" w:w="3061"/>
          </w:tcPr>
          <w:p>
            <w:r/>
            <w:r>
              <w:rPr>
                <w:sz w:val="15"/>
              </w:rPr>
              <w:t>Post-event return to service needs a positive technical acceptance, not elapsed time.</w:t>
            </w:r>
          </w:p>
        </w:tc>
        <w:tc>
          <w:tcPr>
            <w:tcW w:type="dxa" w:w="2381"/>
          </w:tcPr>
          <w:p>
            <w:r/>
            <w:r>
              <w:rPr>
                <w:sz w:val="15"/>
              </w:rPr>
              <w:t>DEWA circulars [DB6]; IET Code of Practice [T3]</w:t>
            </w:r>
          </w:p>
        </w:tc>
        <w:tc>
          <w:tcPr>
            <w:tcW w:type="dxa" w:w="1191"/>
          </w:tcPr>
          <w:p>
            <w:r/>
            <w:r>
              <w:rPr>
                <w:sz w:val="15"/>
              </w:rPr>
              <w:t>All UAE</w:t>
            </w:r>
          </w:p>
        </w:tc>
        <w:tc>
          <w:tcPr>
            <w:tcW w:type="dxa" w:w="907"/>
          </w:tcPr>
          <w:p>
            <w:r/>
            <w:r>
              <w:rPr>
                <w:sz w:val="15"/>
              </w:rPr>
              <w:t>Critical</w:t>
            </w:r>
          </w:p>
        </w:tc>
        <w:tc>
          <w:tcPr>
            <w:tcW w:type="dxa" w:w="1134"/>
          </w:tcPr>
          <w:p>
            <w:r/>
            <w:r>
              <w:rPr>
                <w:sz w:val="15"/>
              </w:rPr>
            </w:r>
          </w:p>
        </w:tc>
        <w:tc>
          <w:tcPr>
            <w:tcW w:type="dxa" w:w="1814"/>
          </w:tcPr>
          <w:p>
            <w:r/>
            <w:r>
              <w:rPr>
                <w:sz w:val="15"/>
              </w:rPr>
            </w:r>
          </w:p>
        </w:tc>
      </w:tr>
      <w:tr>
        <w:trPr>
          <w:cantSplit/>
        </w:trPr>
        <w:tc>
          <w:tcPr>
            <w:tcW w:type="dxa" w:w="510"/>
            <w:shd w:val="clear" w:color="auto" w:fill="F2F6FA"/>
          </w:tcPr>
          <w:p>
            <w:r/>
            <w:r>
              <w:rPr>
                <w:sz w:val="15"/>
              </w:rPr>
              <w:t>44</w:t>
            </w:r>
          </w:p>
        </w:tc>
        <w:tc>
          <w:tcPr>
            <w:tcW w:type="dxa" w:w="3742"/>
            <w:shd w:val="clear" w:color="auto" w:fill="F2F6FA"/>
          </w:tcPr>
          <w:p>
            <w:r/>
            <w:r>
              <w:rPr>
                <w:sz w:val="15"/>
              </w:rPr>
              <w:t>Protect and raise cable crossings, inspect plugs, leads and hand tools after rain and remove damaged items from service.</w:t>
            </w:r>
          </w:p>
        </w:tc>
        <w:tc>
          <w:tcPr>
            <w:tcW w:type="dxa" w:w="3061"/>
            <w:shd w:val="clear" w:color="auto" w:fill="F2F6FA"/>
          </w:tcPr>
          <w:p>
            <w:r/>
            <w:r>
              <w:rPr>
                <w:sz w:val="15"/>
              </w:rPr>
              <w:t>Standing water and vehicle damage combine to create shock and fire risk.</w:t>
            </w:r>
          </w:p>
        </w:tc>
        <w:tc>
          <w:tcPr>
            <w:tcW w:type="dxa" w:w="2381"/>
            <w:shd w:val="clear" w:color="auto" w:fill="F2F6FA"/>
          </w:tcPr>
          <w:p>
            <w:r/>
            <w:r>
              <w:rPr>
                <w:sz w:val="15"/>
              </w:rPr>
              <w:t>ADOSH CoP 15.0 [AD4]; HSE HSG141 [T2]</w:t>
            </w:r>
          </w:p>
        </w:tc>
        <w:tc>
          <w:tcPr>
            <w:tcW w:type="dxa" w:w="1191"/>
            <w:shd w:val="clear" w:color="auto" w:fill="F2F6FA"/>
          </w:tcPr>
          <w:p>
            <w:r/>
            <w:r>
              <w:rPr>
                <w:sz w:val="15"/>
              </w:rPr>
              <w:t>All UAE</w:t>
            </w:r>
          </w:p>
        </w:tc>
        <w:tc>
          <w:tcPr>
            <w:tcW w:type="dxa" w:w="907"/>
            <w:shd w:val="clear" w:color="auto" w:fill="F2F6FA"/>
          </w:tcPr>
          <w:p>
            <w:r/>
            <w:r>
              <w:rPr>
                <w:sz w:val="15"/>
              </w:rPr>
              <w:t>High</w:t>
            </w:r>
          </w:p>
        </w:tc>
        <w:tc>
          <w:tcPr>
            <w:tcW w:type="dxa" w:w="1134"/>
            <w:shd w:val="clear" w:color="auto" w:fill="F2F6FA"/>
          </w:tcPr>
          <w:p>
            <w:r/>
            <w:r>
              <w:rPr>
                <w:sz w:val="15"/>
              </w:rPr>
            </w:r>
          </w:p>
        </w:tc>
        <w:tc>
          <w:tcPr>
            <w:tcW w:type="dxa" w:w="1814"/>
            <w:shd w:val="clear" w:color="auto" w:fill="F2F6FA"/>
          </w:tcPr>
          <w:p>
            <w:r/>
            <w:r>
              <w:rPr>
                <w:sz w:val="15"/>
              </w:rPr>
            </w:r>
          </w:p>
        </w:tc>
      </w:tr>
      <w:tr>
        <w:trPr>
          <w:cantSplit/>
        </w:trPr>
        <w:tc>
          <w:tcPr>
            <w:tcW w:type="dxa" w:w="510"/>
          </w:tcPr>
          <w:p>
            <w:r/>
            <w:r>
              <w:rPr>
                <w:sz w:val="15"/>
              </w:rPr>
              <w:t>45</w:t>
            </w:r>
          </w:p>
        </w:tc>
        <w:tc>
          <w:tcPr>
            <w:tcW w:type="dxa" w:w="3742"/>
          </w:tcPr>
          <w:p>
            <w:r/>
            <w:r>
              <w:rPr>
                <w:sz w:val="15"/>
              </w:rPr>
              <w:t>Suspend exposed electrical work during lightning, take shelter away from metal and electrical contact, and inspect lightning protection, earthing and tower cranes after a suspected strike.</w:t>
            </w:r>
          </w:p>
        </w:tc>
        <w:tc>
          <w:tcPr>
            <w:tcW w:type="dxa" w:w="3061"/>
          </w:tcPr>
          <w:p>
            <w:r/>
            <w:r>
              <w:rPr>
                <w:sz w:val="15"/>
              </w:rPr>
              <w:t>NCEMA warns that lightning damages equipment and creates direct electrical hazards.</w:t>
            </w:r>
          </w:p>
        </w:tc>
        <w:tc>
          <w:tcPr>
            <w:tcW w:type="dxa" w:w="2381"/>
          </w:tcPr>
          <w:p>
            <w:r/>
            <w:r>
              <w:rPr>
                <w:sz w:val="15"/>
              </w:rPr>
              <w:t>NCEMA [F4]; IEC 60364-7-704 [T1]</w:t>
            </w:r>
          </w:p>
        </w:tc>
        <w:tc>
          <w:tcPr>
            <w:tcW w:type="dxa" w:w="1191"/>
          </w:tcPr>
          <w:p>
            <w:r/>
            <w:r>
              <w:rPr>
                <w:sz w:val="15"/>
              </w:rPr>
              <w:t>All UAE</w:t>
            </w:r>
          </w:p>
        </w:tc>
        <w:tc>
          <w:tcPr>
            <w:tcW w:type="dxa" w:w="907"/>
          </w:tcPr>
          <w:p>
            <w:r/>
            <w:r>
              <w:rPr>
                <w:sz w:val="15"/>
              </w:rPr>
              <w:t>Critical</w:t>
            </w:r>
          </w:p>
        </w:tc>
        <w:tc>
          <w:tcPr>
            <w:tcW w:type="dxa" w:w="1134"/>
          </w:tcPr>
          <w:p>
            <w:r/>
            <w:r>
              <w:rPr>
                <w:sz w:val="15"/>
              </w:rPr>
            </w:r>
          </w:p>
        </w:tc>
        <w:tc>
          <w:tcPr>
            <w:tcW w:type="dxa" w:w="1814"/>
          </w:tcPr>
          <w:p>
            <w:r/>
            <w:r>
              <w:rPr>
                <w:sz w:val="15"/>
              </w:rPr>
            </w:r>
          </w:p>
        </w:tc>
      </w:tr>
      <w:tr>
        <w:trPr>
          <w:cantSplit/>
        </w:trPr>
        <w:tc>
          <w:tcPr>
            <w:tcW w:type="dxa" w:w="510"/>
            <w:shd w:val="clear" w:color="auto" w:fill="F2F6FA"/>
          </w:tcPr>
          <w:p>
            <w:r/>
            <w:r>
              <w:rPr>
                <w:sz w:val="15"/>
              </w:rPr>
              <w:t>46</w:t>
            </w:r>
          </w:p>
        </w:tc>
        <w:tc>
          <w:tcPr>
            <w:tcW w:type="dxa" w:w="3742"/>
            <w:shd w:val="clear" w:color="auto" w:fill="F2F6FA"/>
          </w:tcPr>
          <w:p>
            <w:r/>
            <w:r>
              <w:rPr>
                <w:sz w:val="15"/>
              </w:rPr>
              <w:t>Provide emergency lighting and protected, elevated isolation access, post the serving-utility emergency route, and protect and identify buried or damaged services before excavation or dewatering.</w:t>
            </w:r>
          </w:p>
        </w:tc>
        <w:tc>
          <w:tcPr>
            <w:tcW w:type="dxa" w:w="3061"/>
            <w:shd w:val="clear" w:color="auto" w:fill="F2F6FA"/>
          </w:tcPr>
          <w:p>
            <w:r/>
            <w:r>
              <w:rPr>
                <w:sz w:val="15"/>
              </w:rPr>
              <w:t>Evacuation and isolation must remain possible when normal power and access are impaired.</w:t>
            </w:r>
          </w:p>
        </w:tc>
        <w:tc>
          <w:tcPr>
            <w:tcW w:type="dxa" w:w="2381"/>
            <w:shd w:val="clear" w:color="auto" w:fill="F2F6FA"/>
          </w:tcPr>
          <w:p>
            <w:r/>
            <w:r>
              <w:rPr>
                <w:sz w:val="15"/>
              </w:rPr>
              <w:t>UAE Fire and Life Safety Code [DB7]; Civil Defence Decree-Law 35/2024 [F5]; EtihadWE [AJ3]</w:t>
            </w:r>
          </w:p>
        </w:tc>
        <w:tc>
          <w:tcPr>
            <w:tcW w:type="dxa" w:w="1191"/>
            <w:shd w:val="clear" w:color="auto" w:fill="F2F6FA"/>
          </w:tcPr>
          <w:p>
            <w:r/>
            <w:r>
              <w:rPr>
                <w:sz w:val="15"/>
              </w:rPr>
              <w:t>All UAE</w:t>
            </w:r>
          </w:p>
        </w:tc>
        <w:tc>
          <w:tcPr>
            <w:tcW w:type="dxa" w:w="907"/>
            <w:shd w:val="clear" w:color="auto" w:fill="F2F6FA"/>
          </w:tcPr>
          <w:p>
            <w:r/>
            <w:r>
              <w:rPr>
                <w:sz w:val="15"/>
              </w:rPr>
              <w:t>High</w:t>
            </w:r>
          </w:p>
        </w:tc>
        <w:tc>
          <w:tcPr>
            <w:tcW w:type="dxa" w:w="1134"/>
            <w:shd w:val="clear" w:color="auto" w:fill="F2F6FA"/>
          </w:tcPr>
          <w:p>
            <w:r/>
            <w:r>
              <w:rPr>
                <w:sz w:val="15"/>
              </w:rPr>
            </w:r>
          </w:p>
        </w:tc>
        <w:tc>
          <w:tcPr>
            <w:tcW w:type="dxa" w:w="1814"/>
            <w:shd w:val="clear" w:color="auto" w:fill="F2F6FA"/>
          </w:tcPr>
          <w:p>
            <w:r/>
            <w:r>
              <w:rPr>
                <w:sz w:val="15"/>
              </w:rPr>
            </w:r>
          </w:p>
        </w:tc>
      </w:tr>
    </w:tbl>
    <w:p/>
    <w:p>
      <w:pPr>
        <w:pStyle w:val="Heading2"/>
      </w:pPr>
      <w:r>
        <w:t>E. Lifting, Plant, Scaffolding &amp; Temporary Structures</w:t>
      </w:r>
    </w:p>
    <w:tbl>
      <w:tblPr>
        <w:tblStyle w:val="TableGrid"/>
        <w:tblW w:type="auto" w:w="0"/>
        <w:jc w:val="center"/>
        <w:tblLook w:firstColumn="1" w:firstRow="1" w:lastColumn="0" w:lastRow="0" w:noHBand="0" w:noVBand="1" w:val="04A0"/>
        <w:tblLayout w:type="fixed"/>
      </w:tblPr>
      <w:tblGrid>
        <w:gridCol w:w="510"/>
        <w:gridCol w:w="3742"/>
        <w:gridCol w:w="3062"/>
        <w:gridCol w:w="2381"/>
        <w:gridCol w:w="1191"/>
        <w:gridCol w:w="907"/>
        <w:gridCol w:w="1134"/>
        <w:gridCol w:w="1814"/>
      </w:tblGrid>
      <w:tr>
        <w:trPr>
          <w:cantSplit/>
        </w:trPr>
        <w:tc>
          <w:tcPr>
            <w:tcW w:type="dxa" w:w="510"/>
            <w:shd w:val="clear" w:color="auto" w:fill="126E6E"/>
          </w:tcPr>
          <w:p>
            <w:r/>
            <w:r>
              <w:rPr>
                <w:b/>
                <w:color w:val="FFFFFF"/>
                <w:sz w:val="15"/>
              </w:rPr>
              <w:t>#</w:t>
            </w:r>
          </w:p>
        </w:tc>
        <w:tc>
          <w:tcPr>
            <w:tcW w:type="dxa" w:w="3742"/>
            <w:shd w:val="clear" w:color="auto" w:fill="126E6E"/>
          </w:tcPr>
          <w:p>
            <w:r/>
            <w:r>
              <w:rPr>
                <w:b/>
                <w:color w:val="FFFFFF"/>
                <w:sz w:val="15"/>
              </w:rPr>
              <w:t>Check item</w:t>
            </w:r>
          </w:p>
        </w:tc>
        <w:tc>
          <w:tcPr>
            <w:tcW w:type="dxa" w:w="3061"/>
            <w:shd w:val="clear" w:color="auto" w:fill="126E6E"/>
          </w:tcPr>
          <w:p>
            <w:r/>
            <w:r>
              <w:rPr>
                <w:b/>
                <w:color w:val="FFFFFF"/>
                <w:sz w:val="15"/>
              </w:rPr>
              <w:t>Why it matters (risk)</w:t>
            </w:r>
          </w:p>
        </w:tc>
        <w:tc>
          <w:tcPr>
            <w:tcW w:type="dxa" w:w="2381"/>
            <w:shd w:val="clear" w:color="auto" w:fill="126E6E"/>
          </w:tcPr>
          <w:p>
            <w:r/>
            <w:r>
              <w:rPr>
                <w:b/>
                <w:color w:val="FFFFFF"/>
                <w:sz w:val="15"/>
              </w:rPr>
              <w:t>Authority / source reference</w:t>
            </w:r>
          </w:p>
        </w:tc>
        <w:tc>
          <w:tcPr>
            <w:tcW w:type="dxa" w:w="1191"/>
            <w:shd w:val="clear" w:color="auto" w:fill="126E6E"/>
          </w:tcPr>
          <w:p>
            <w:r/>
            <w:r>
              <w:rPr>
                <w:b/>
                <w:color w:val="FFFFFF"/>
                <w:sz w:val="15"/>
              </w:rPr>
              <w:t>Applies to</w:t>
            </w:r>
          </w:p>
        </w:tc>
        <w:tc>
          <w:tcPr>
            <w:tcW w:type="dxa" w:w="907"/>
            <w:shd w:val="clear" w:color="auto" w:fill="126E6E"/>
          </w:tcPr>
          <w:p>
            <w:r/>
            <w:r>
              <w:rPr>
                <w:b/>
                <w:color w:val="FFFFFF"/>
                <w:sz w:val="15"/>
              </w:rPr>
              <w:t>Priority</w:t>
            </w:r>
          </w:p>
        </w:tc>
        <w:tc>
          <w:tcPr>
            <w:tcW w:type="dxa" w:w="1134"/>
            <w:shd w:val="clear" w:color="auto" w:fill="126E6E"/>
          </w:tcPr>
          <w:p>
            <w:r/>
            <w:r>
              <w:rPr>
                <w:b/>
                <w:color w:val="FFFFFF"/>
                <w:sz w:val="15"/>
              </w:rPr>
              <w:t>Status / initials</w:t>
            </w:r>
          </w:p>
        </w:tc>
        <w:tc>
          <w:tcPr>
            <w:tcW w:type="dxa" w:w="1814"/>
            <w:shd w:val="clear" w:color="auto" w:fill="126E6E"/>
          </w:tcPr>
          <w:p>
            <w:r/>
            <w:r>
              <w:rPr>
                <w:b/>
                <w:color w:val="FFFFFF"/>
                <w:sz w:val="15"/>
              </w:rPr>
              <w:t>Evidence reference</w:t>
            </w:r>
          </w:p>
        </w:tc>
      </w:tr>
      <w:tr>
        <w:trPr>
          <w:cantSplit/>
        </w:trPr>
        <w:tc>
          <w:tcPr>
            <w:tcW w:type="dxa" w:w="510"/>
          </w:tcPr>
          <w:p>
            <w:r/>
            <w:r>
              <w:rPr>
                <w:sz w:val="15"/>
              </w:rPr>
              <w:t>47</w:t>
            </w:r>
          </w:p>
        </w:tc>
        <w:tc>
          <w:tcPr>
            <w:tcW w:type="dxa" w:w="3742"/>
          </w:tcPr>
          <w:p>
            <w:r/>
            <w:r>
              <w:rPr>
                <w:sz w:val="15"/>
              </w:rPr>
              <w:t>State manufacturer wind limits, crane configuration, anemometer location and alarm and stop levels in every lift plan.</w:t>
            </w:r>
          </w:p>
        </w:tc>
        <w:tc>
          <w:tcPr>
            <w:tcW w:type="dxa" w:w="3061"/>
          </w:tcPr>
          <w:p>
            <w:r/>
            <w:r>
              <w:rPr>
                <w:sz w:val="15"/>
              </w:rPr>
              <w:t>Crane wind limits are equipment, load and configuration specific; generic internet values do not govern.</w:t>
            </w:r>
          </w:p>
        </w:tc>
        <w:tc>
          <w:tcPr>
            <w:tcW w:type="dxa" w:w="2381"/>
          </w:tcPr>
          <w:p>
            <w:r/>
            <w:r>
              <w:rPr>
                <w:sz w:val="15"/>
              </w:rPr>
              <w:t>ADOSH CoP 34.0 [AD6]; HSE lifting [T8]</w:t>
            </w:r>
          </w:p>
        </w:tc>
        <w:tc>
          <w:tcPr>
            <w:tcW w:type="dxa" w:w="1191"/>
          </w:tcPr>
          <w:p>
            <w:r/>
            <w:r>
              <w:rPr>
                <w:sz w:val="15"/>
              </w:rPr>
              <w:t>All UAE</w:t>
            </w:r>
          </w:p>
        </w:tc>
        <w:tc>
          <w:tcPr>
            <w:tcW w:type="dxa" w:w="907"/>
          </w:tcPr>
          <w:p>
            <w:r/>
            <w:r>
              <w:rPr>
                <w:sz w:val="15"/>
              </w:rPr>
              <w:t>Critical</w:t>
            </w:r>
          </w:p>
        </w:tc>
        <w:tc>
          <w:tcPr>
            <w:tcW w:type="dxa" w:w="1134"/>
          </w:tcPr>
          <w:p>
            <w:r/>
            <w:r>
              <w:rPr>
                <w:sz w:val="15"/>
              </w:rPr>
            </w:r>
          </w:p>
        </w:tc>
        <w:tc>
          <w:tcPr>
            <w:tcW w:type="dxa" w:w="1814"/>
          </w:tcPr>
          <w:p>
            <w:r/>
            <w:r>
              <w:rPr>
                <w:sz w:val="15"/>
              </w:rPr>
            </w:r>
          </w:p>
        </w:tc>
      </w:tr>
      <w:tr>
        <w:trPr>
          <w:cantSplit/>
        </w:trPr>
        <w:tc>
          <w:tcPr>
            <w:tcW w:type="dxa" w:w="510"/>
            <w:shd w:val="clear" w:color="auto" w:fill="F2F6FA"/>
          </w:tcPr>
          <w:p>
            <w:r/>
            <w:r>
              <w:rPr>
                <w:sz w:val="15"/>
              </w:rPr>
              <w:t>48</w:t>
            </w:r>
          </w:p>
        </w:tc>
        <w:tc>
          <w:tcPr>
            <w:tcW w:type="dxa" w:w="3742"/>
            <w:shd w:val="clear" w:color="auto" w:fill="F2F6FA"/>
          </w:tcPr>
          <w:p>
            <w:r/>
            <w:r>
              <w:rPr>
                <w:sz w:val="15"/>
              </w:rPr>
              <w:t>Abu Dhabi: cease lifting when recorded wind speed or gusts exceed 38 km/h (20.5 knots), and always apply the lowest of authority, manufacturer, lift-plan and design limits.</w:t>
            </w:r>
          </w:p>
        </w:tc>
        <w:tc>
          <w:tcPr>
            <w:tcW w:type="dxa" w:w="3061"/>
            <w:shd w:val="clear" w:color="auto" w:fill="F2F6FA"/>
          </w:tcPr>
          <w:p>
            <w:r/>
            <w:r>
              <w:rPr>
                <w:sz w:val="15"/>
              </w:rPr>
              <w:t>ADOSH CoP 34.0 provides a verified emirate-specific threshold.</w:t>
            </w:r>
          </w:p>
        </w:tc>
        <w:tc>
          <w:tcPr>
            <w:tcW w:type="dxa" w:w="2381"/>
            <w:shd w:val="clear" w:color="auto" w:fill="F2F6FA"/>
          </w:tcPr>
          <w:p>
            <w:r/>
            <w:r>
              <w:rPr>
                <w:sz w:val="15"/>
              </w:rPr>
              <w:t>ADOSH CoP 34.0 [AD6]</w:t>
            </w:r>
          </w:p>
        </w:tc>
        <w:tc>
          <w:tcPr>
            <w:tcW w:type="dxa" w:w="1191"/>
            <w:shd w:val="clear" w:color="auto" w:fill="F2F6FA"/>
          </w:tcPr>
          <w:p>
            <w:r/>
            <w:r>
              <w:rPr>
                <w:sz w:val="15"/>
              </w:rPr>
              <w:t>Abu Dhabi</w:t>
            </w:r>
          </w:p>
        </w:tc>
        <w:tc>
          <w:tcPr>
            <w:tcW w:type="dxa" w:w="907"/>
            <w:shd w:val="clear" w:color="auto" w:fill="F2F6FA"/>
          </w:tcPr>
          <w:p>
            <w:r/>
            <w:r>
              <w:rPr>
                <w:sz w:val="15"/>
              </w:rPr>
              <w:t>Critical</w:t>
            </w:r>
          </w:p>
        </w:tc>
        <w:tc>
          <w:tcPr>
            <w:tcW w:type="dxa" w:w="1134"/>
            <w:shd w:val="clear" w:color="auto" w:fill="F2F6FA"/>
          </w:tcPr>
          <w:p>
            <w:r/>
            <w:r>
              <w:rPr>
                <w:sz w:val="15"/>
              </w:rPr>
            </w:r>
          </w:p>
        </w:tc>
        <w:tc>
          <w:tcPr>
            <w:tcW w:type="dxa" w:w="1814"/>
            <w:shd w:val="clear" w:color="auto" w:fill="F2F6FA"/>
          </w:tcPr>
          <w:p>
            <w:r/>
            <w:r>
              <w:rPr>
                <w:sz w:val="15"/>
              </w:rPr>
            </w:r>
          </w:p>
        </w:tc>
      </w:tr>
      <w:tr>
        <w:trPr>
          <w:cantSplit/>
        </w:trPr>
        <w:tc>
          <w:tcPr>
            <w:tcW w:type="dxa" w:w="510"/>
          </w:tcPr>
          <w:p>
            <w:r/>
            <w:r>
              <w:rPr>
                <w:sz w:val="15"/>
              </w:rPr>
              <w:t>49</w:t>
            </w:r>
          </w:p>
        </w:tc>
        <w:tc>
          <w:tcPr>
            <w:tcW w:type="dxa" w:w="3742"/>
          </w:tcPr>
          <w:p>
            <w:r/>
            <w:r>
              <w:rPr>
                <w:sz w:val="15"/>
              </w:rPr>
              <w:t>Provide and brief daily meteorological information to crane operators and lifting supervisors, and verify that anemometers are working.</w:t>
            </w:r>
          </w:p>
        </w:tc>
        <w:tc>
          <w:tcPr>
            <w:tcW w:type="dxa" w:w="3061"/>
          </w:tcPr>
          <w:p>
            <w:r/>
            <w:r>
              <w:rPr>
                <w:sz w:val="15"/>
              </w:rPr>
              <w:t>ADOSH CoP 34.0 specifically requires anemometers and daily meteorological reports.</w:t>
            </w:r>
          </w:p>
        </w:tc>
        <w:tc>
          <w:tcPr>
            <w:tcW w:type="dxa" w:w="2381"/>
          </w:tcPr>
          <w:p>
            <w:r/>
            <w:r>
              <w:rPr>
                <w:sz w:val="15"/>
              </w:rPr>
              <w:t>ADOSH CoP 34.0 [AD6]</w:t>
            </w:r>
          </w:p>
        </w:tc>
        <w:tc>
          <w:tcPr>
            <w:tcW w:type="dxa" w:w="1191"/>
          </w:tcPr>
          <w:p>
            <w:r/>
            <w:r>
              <w:rPr>
                <w:sz w:val="15"/>
              </w:rPr>
              <w:t>Abu Dhabi</w:t>
            </w:r>
          </w:p>
        </w:tc>
        <w:tc>
          <w:tcPr>
            <w:tcW w:type="dxa" w:w="907"/>
          </w:tcPr>
          <w:p>
            <w:r/>
            <w:r>
              <w:rPr>
                <w:sz w:val="15"/>
              </w:rPr>
              <w:t>High</w:t>
            </w:r>
          </w:p>
        </w:tc>
        <w:tc>
          <w:tcPr>
            <w:tcW w:type="dxa" w:w="1134"/>
          </w:tcPr>
          <w:p>
            <w:r/>
            <w:r>
              <w:rPr>
                <w:sz w:val="15"/>
              </w:rPr>
            </w:r>
          </w:p>
        </w:tc>
        <w:tc>
          <w:tcPr>
            <w:tcW w:type="dxa" w:w="1814"/>
          </w:tcPr>
          <w:p>
            <w:r/>
            <w:r>
              <w:rPr>
                <w:sz w:val="15"/>
              </w:rPr>
            </w:r>
          </w:p>
        </w:tc>
      </w:tr>
      <w:tr>
        <w:trPr>
          <w:cantSplit/>
        </w:trPr>
        <w:tc>
          <w:tcPr>
            <w:tcW w:type="dxa" w:w="510"/>
            <w:shd w:val="clear" w:color="auto" w:fill="F2F6FA"/>
          </w:tcPr>
          <w:p>
            <w:r/>
            <w:r>
              <w:rPr>
                <w:sz w:val="15"/>
              </w:rPr>
              <w:t>50</w:t>
            </w:r>
          </w:p>
        </w:tc>
        <w:tc>
          <w:tcPr>
            <w:tcW w:type="dxa" w:w="3742"/>
            <w:shd w:val="clear" w:color="auto" w:fill="F2F6FA"/>
          </w:tcPr>
          <w:p>
            <w:r/>
            <w:r>
              <w:rPr>
                <w:sz w:val="15"/>
              </w:rPr>
              <w:t>Stop exposed lifting immediately for lightning, unsafe visibility, uncontrolled load swing, flooded access or unstable ground.</w:t>
            </w:r>
          </w:p>
        </w:tc>
        <w:tc>
          <w:tcPr>
            <w:tcW w:type="dxa" w:w="3061"/>
            <w:shd w:val="clear" w:color="auto" w:fill="F2F6FA"/>
          </w:tcPr>
          <w:p>
            <w:r/>
            <w:r>
              <w:rPr>
                <w:sz w:val="15"/>
              </w:rPr>
              <w:t>Wind speed is not the only weather mechanism that invalidates a lift plan.</w:t>
            </w:r>
          </w:p>
        </w:tc>
        <w:tc>
          <w:tcPr>
            <w:tcW w:type="dxa" w:w="2381"/>
            <w:shd w:val="clear" w:color="auto" w:fill="F2F6FA"/>
          </w:tcPr>
          <w:p>
            <w:r/>
            <w:r>
              <w:rPr>
                <w:sz w:val="15"/>
              </w:rPr>
              <w:t>NCEMA [F4]; HSE lifting [T8]</w:t>
            </w:r>
          </w:p>
        </w:tc>
        <w:tc>
          <w:tcPr>
            <w:tcW w:type="dxa" w:w="1191"/>
            <w:shd w:val="clear" w:color="auto" w:fill="F2F6FA"/>
          </w:tcPr>
          <w:p>
            <w:r/>
            <w:r>
              <w:rPr>
                <w:sz w:val="15"/>
              </w:rPr>
              <w:t>All UAE</w:t>
            </w:r>
          </w:p>
        </w:tc>
        <w:tc>
          <w:tcPr>
            <w:tcW w:type="dxa" w:w="907"/>
            <w:shd w:val="clear" w:color="auto" w:fill="F2F6FA"/>
          </w:tcPr>
          <w:p>
            <w:r/>
            <w:r>
              <w:rPr>
                <w:sz w:val="15"/>
              </w:rPr>
              <w:t>Critical</w:t>
            </w:r>
          </w:p>
        </w:tc>
        <w:tc>
          <w:tcPr>
            <w:tcW w:type="dxa" w:w="1134"/>
            <w:shd w:val="clear" w:color="auto" w:fill="F2F6FA"/>
          </w:tcPr>
          <w:p>
            <w:r/>
            <w:r>
              <w:rPr>
                <w:sz w:val="15"/>
              </w:rPr>
            </w:r>
          </w:p>
        </w:tc>
        <w:tc>
          <w:tcPr>
            <w:tcW w:type="dxa" w:w="1814"/>
            <w:shd w:val="clear" w:color="auto" w:fill="F2F6FA"/>
          </w:tcPr>
          <w:p>
            <w:r/>
            <w:r>
              <w:rPr>
                <w:sz w:val="15"/>
              </w:rPr>
            </w:r>
          </w:p>
        </w:tc>
      </w:tr>
      <w:tr>
        <w:trPr>
          <w:cantSplit/>
        </w:trPr>
        <w:tc>
          <w:tcPr>
            <w:tcW w:type="dxa" w:w="510"/>
          </w:tcPr>
          <w:p>
            <w:r/>
            <w:r>
              <w:rPr>
                <w:sz w:val="15"/>
              </w:rPr>
              <w:t>51</w:t>
            </w:r>
          </w:p>
        </w:tc>
        <w:tc>
          <w:tcPr>
            <w:tcW w:type="dxa" w:w="3742"/>
          </w:tcPr>
          <w:p>
            <w:r/>
            <w:r>
              <w:rPr>
                <w:sz w:val="15"/>
              </w:rPr>
              <w:t>Secure cranes, hoists and MEWPs in the manufacturer-approved out-of-service or storm configuration before conditions worsen.</w:t>
            </w:r>
          </w:p>
        </w:tc>
        <w:tc>
          <w:tcPr>
            <w:tcW w:type="dxa" w:w="3061"/>
          </w:tcPr>
          <w:p>
            <w:r/>
            <w:r>
              <w:rPr>
                <w:sz w:val="15"/>
              </w:rPr>
              <w:t>A crane's restraint and slewing arrangement is manufacturer-specific and must be applied in advance.</w:t>
            </w:r>
          </w:p>
        </w:tc>
        <w:tc>
          <w:tcPr>
            <w:tcW w:type="dxa" w:w="2381"/>
          </w:tcPr>
          <w:p>
            <w:r/>
            <w:r>
              <w:rPr>
                <w:sz w:val="15"/>
              </w:rPr>
              <w:t>HSE lifting [T8]; Port of Fujairah marine notice [FU7]</w:t>
            </w:r>
          </w:p>
        </w:tc>
        <w:tc>
          <w:tcPr>
            <w:tcW w:type="dxa" w:w="1191"/>
          </w:tcPr>
          <w:p>
            <w:r/>
            <w:r>
              <w:rPr>
                <w:sz w:val="15"/>
              </w:rPr>
              <w:t>All UAE</w:t>
            </w:r>
          </w:p>
        </w:tc>
        <w:tc>
          <w:tcPr>
            <w:tcW w:type="dxa" w:w="907"/>
          </w:tcPr>
          <w:p>
            <w:r/>
            <w:r>
              <w:rPr>
                <w:sz w:val="15"/>
              </w:rPr>
              <w:t>High</w:t>
            </w:r>
          </w:p>
        </w:tc>
        <w:tc>
          <w:tcPr>
            <w:tcW w:type="dxa" w:w="1134"/>
          </w:tcPr>
          <w:p>
            <w:r/>
            <w:r>
              <w:rPr>
                <w:sz w:val="15"/>
              </w:rPr>
            </w:r>
          </w:p>
        </w:tc>
        <w:tc>
          <w:tcPr>
            <w:tcW w:type="dxa" w:w="1814"/>
          </w:tcPr>
          <w:p>
            <w:r/>
            <w:r>
              <w:rPr>
                <w:sz w:val="15"/>
              </w:rPr>
            </w:r>
          </w:p>
        </w:tc>
      </w:tr>
      <w:tr>
        <w:trPr>
          <w:cantSplit/>
        </w:trPr>
        <w:tc>
          <w:tcPr>
            <w:tcW w:type="dxa" w:w="510"/>
            <w:shd w:val="clear" w:color="auto" w:fill="F2F6FA"/>
          </w:tcPr>
          <w:p>
            <w:r/>
            <w:r>
              <w:rPr>
                <w:sz w:val="15"/>
              </w:rPr>
              <w:t>52</w:t>
            </w:r>
          </w:p>
        </w:tc>
        <w:tc>
          <w:tcPr>
            <w:tcW w:type="dxa" w:w="3742"/>
            <w:shd w:val="clear" w:color="auto" w:fill="F2F6FA"/>
          </w:tcPr>
          <w:p>
            <w:r/>
            <w:r>
              <w:rPr>
                <w:sz w:val="15"/>
              </w:rPr>
              <w:t>After rain, inspect crane foundations, rails, ties, anchors, brakes, outriggers, mats, hoists and lifting accessories before release to service.</w:t>
            </w:r>
          </w:p>
        </w:tc>
        <w:tc>
          <w:tcPr>
            <w:tcW w:type="dxa" w:w="3061"/>
            <w:shd w:val="clear" w:color="auto" w:fill="F2F6FA"/>
          </w:tcPr>
          <w:p>
            <w:r/>
            <w:r>
              <w:rPr>
                <w:sz w:val="15"/>
              </w:rPr>
              <w:t>Saturation, scour and water ingress change stability and control margins.</w:t>
            </w:r>
          </w:p>
        </w:tc>
        <w:tc>
          <w:tcPr>
            <w:tcW w:type="dxa" w:w="2381"/>
            <w:shd w:val="clear" w:color="auto" w:fill="F2F6FA"/>
          </w:tcPr>
          <w:p>
            <w:r/>
            <w:r>
              <w:rPr>
                <w:sz w:val="15"/>
              </w:rPr>
              <w:t>ADOSH CoP 34.0 [AD6]; Fujairah PWAD [FU2]</w:t>
            </w:r>
          </w:p>
        </w:tc>
        <w:tc>
          <w:tcPr>
            <w:tcW w:type="dxa" w:w="1191"/>
            <w:shd w:val="clear" w:color="auto" w:fill="F2F6FA"/>
          </w:tcPr>
          <w:p>
            <w:r/>
            <w:r>
              <w:rPr>
                <w:sz w:val="15"/>
              </w:rPr>
              <w:t>All UAE</w:t>
            </w:r>
          </w:p>
        </w:tc>
        <w:tc>
          <w:tcPr>
            <w:tcW w:type="dxa" w:w="907"/>
            <w:shd w:val="clear" w:color="auto" w:fill="F2F6FA"/>
          </w:tcPr>
          <w:p>
            <w:r/>
            <w:r>
              <w:rPr>
                <w:sz w:val="15"/>
              </w:rPr>
              <w:t>Critical</w:t>
            </w:r>
          </w:p>
        </w:tc>
        <w:tc>
          <w:tcPr>
            <w:tcW w:type="dxa" w:w="1134"/>
            <w:shd w:val="clear" w:color="auto" w:fill="F2F6FA"/>
          </w:tcPr>
          <w:p>
            <w:r/>
            <w:r>
              <w:rPr>
                <w:sz w:val="15"/>
              </w:rPr>
            </w:r>
          </w:p>
        </w:tc>
        <w:tc>
          <w:tcPr>
            <w:tcW w:type="dxa" w:w="1814"/>
            <w:shd w:val="clear" w:color="auto" w:fill="F2F6FA"/>
          </w:tcPr>
          <w:p>
            <w:r/>
            <w:r>
              <w:rPr>
                <w:sz w:val="15"/>
              </w:rPr>
            </w:r>
          </w:p>
        </w:tc>
      </w:tr>
      <w:tr>
        <w:trPr>
          <w:cantSplit/>
        </w:trPr>
        <w:tc>
          <w:tcPr>
            <w:tcW w:type="dxa" w:w="510"/>
          </w:tcPr>
          <w:p>
            <w:r/>
            <w:r>
              <w:rPr>
                <w:sz w:val="15"/>
              </w:rPr>
              <w:t>53</w:t>
            </w:r>
          </w:p>
        </w:tc>
        <w:tc>
          <w:tcPr>
            <w:tcW w:type="dxa" w:w="3742"/>
          </w:tcPr>
          <w:p>
            <w:r/>
            <w:r>
              <w:rPr>
                <w:sz w:val="15"/>
              </w:rPr>
              <w:t>Reassess ground-bearing capacity and exclusion zones near excavations before mobile-crane setup after rain.</w:t>
            </w:r>
          </w:p>
        </w:tc>
        <w:tc>
          <w:tcPr>
            <w:tcW w:type="dxa" w:w="3061"/>
          </w:tcPr>
          <w:p>
            <w:r/>
            <w:r>
              <w:rPr>
                <w:sz w:val="15"/>
              </w:rPr>
              <w:t>Rain can undermine pads and excavation edges after an otherwise acceptable lift plan was issued.</w:t>
            </w:r>
          </w:p>
        </w:tc>
        <w:tc>
          <w:tcPr>
            <w:tcW w:type="dxa" w:w="2381"/>
          </w:tcPr>
          <w:p>
            <w:r/>
            <w:r>
              <w:rPr>
                <w:sz w:val="15"/>
              </w:rPr>
              <w:t>ADOSH CoP 34.0 [AD6]; HSE [T4]</w:t>
            </w:r>
          </w:p>
        </w:tc>
        <w:tc>
          <w:tcPr>
            <w:tcW w:type="dxa" w:w="1191"/>
          </w:tcPr>
          <w:p>
            <w:r/>
            <w:r>
              <w:rPr>
                <w:sz w:val="15"/>
              </w:rPr>
              <w:t>All UAE</w:t>
            </w:r>
          </w:p>
        </w:tc>
        <w:tc>
          <w:tcPr>
            <w:tcW w:type="dxa" w:w="907"/>
          </w:tcPr>
          <w:p>
            <w:r/>
            <w:r>
              <w:rPr>
                <w:sz w:val="15"/>
              </w:rPr>
              <w:t>High</w:t>
            </w:r>
          </w:p>
        </w:tc>
        <w:tc>
          <w:tcPr>
            <w:tcW w:type="dxa" w:w="1134"/>
          </w:tcPr>
          <w:p>
            <w:r/>
            <w:r>
              <w:rPr>
                <w:sz w:val="15"/>
              </w:rPr>
            </w:r>
          </w:p>
        </w:tc>
        <w:tc>
          <w:tcPr>
            <w:tcW w:type="dxa" w:w="1814"/>
          </w:tcPr>
          <w:p>
            <w:r/>
            <w:r>
              <w:rPr>
                <w:sz w:val="15"/>
              </w:rPr>
            </w:r>
          </w:p>
        </w:tc>
      </w:tr>
      <w:tr>
        <w:trPr>
          <w:cantSplit/>
        </w:trPr>
        <w:tc>
          <w:tcPr>
            <w:tcW w:type="dxa" w:w="510"/>
            <w:shd w:val="clear" w:color="auto" w:fill="F2F6FA"/>
          </w:tcPr>
          <w:p>
            <w:r/>
            <w:r>
              <w:rPr>
                <w:sz w:val="15"/>
              </w:rPr>
              <w:t>54</w:t>
            </w:r>
          </w:p>
        </w:tc>
        <w:tc>
          <w:tcPr>
            <w:tcW w:type="dxa" w:w="3742"/>
            <w:shd w:val="clear" w:color="auto" w:fill="F2F6FA"/>
          </w:tcPr>
          <w:p>
            <w:r/>
            <w:r>
              <w:rPr>
                <w:sz w:val="15"/>
              </w:rPr>
              <w:t>Stop scaffold use when platforms are slippery or wind and visibility make access unsafe, and never move mobile scaffold towers in wind.</w:t>
            </w:r>
          </w:p>
        </w:tc>
        <w:tc>
          <w:tcPr>
            <w:tcW w:type="dxa" w:w="3061"/>
            <w:shd w:val="clear" w:color="auto" w:fill="F2F6FA"/>
          </w:tcPr>
          <w:p>
            <w:r/>
            <w:r>
              <w:rPr>
                <w:sz w:val="15"/>
              </w:rPr>
              <w:t>Wet footing and wind increase fall and balance hazards; the mobile-tower rule is express in ADOSH CoP 26.0.</w:t>
            </w:r>
          </w:p>
        </w:tc>
        <w:tc>
          <w:tcPr>
            <w:tcW w:type="dxa" w:w="2381"/>
            <w:shd w:val="clear" w:color="auto" w:fill="F2F6FA"/>
          </w:tcPr>
          <w:p>
            <w:r/>
            <w:r>
              <w:rPr>
                <w:sz w:val="15"/>
              </w:rPr>
              <w:t>ADOSH CoP 26.0 [AD5]; HSE work at height [T10]</w:t>
            </w:r>
          </w:p>
        </w:tc>
        <w:tc>
          <w:tcPr>
            <w:tcW w:type="dxa" w:w="1191"/>
            <w:shd w:val="clear" w:color="auto" w:fill="F2F6FA"/>
          </w:tcPr>
          <w:p>
            <w:r/>
            <w:r>
              <w:rPr>
                <w:sz w:val="15"/>
              </w:rPr>
              <w:t>All UAE</w:t>
            </w:r>
          </w:p>
        </w:tc>
        <w:tc>
          <w:tcPr>
            <w:tcW w:type="dxa" w:w="907"/>
            <w:shd w:val="clear" w:color="auto" w:fill="F2F6FA"/>
          </w:tcPr>
          <w:p>
            <w:r/>
            <w:r>
              <w:rPr>
                <w:sz w:val="15"/>
              </w:rPr>
              <w:t>Critical</w:t>
            </w:r>
          </w:p>
        </w:tc>
        <w:tc>
          <w:tcPr>
            <w:tcW w:type="dxa" w:w="1134"/>
            <w:shd w:val="clear" w:color="auto" w:fill="F2F6FA"/>
          </w:tcPr>
          <w:p>
            <w:r/>
            <w:r>
              <w:rPr>
                <w:sz w:val="15"/>
              </w:rPr>
            </w:r>
          </w:p>
        </w:tc>
        <w:tc>
          <w:tcPr>
            <w:tcW w:type="dxa" w:w="1814"/>
            <w:shd w:val="clear" w:color="auto" w:fill="F2F6FA"/>
          </w:tcPr>
          <w:p>
            <w:r/>
            <w:r>
              <w:rPr>
                <w:sz w:val="15"/>
              </w:rPr>
            </w:r>
          </w:p>
        </w:tc>
      </w:tr>
      <w:tr>
        <w:trPr>
          <w:cantSplit/>
        </w:trPr>
        <w:tc>
          <w:tcPr>
            <w:tcW w:type="dxa" w:w="510"/>
          </w:tcPr>
          <w:p>
            <w:r/>
            <w:r>
              <w:rPr>
                <w:sz w:val="15"/>
              </w:rPr>
              <w:t>55</w:t>
            </w:r>
          </w:p>
        </w:tc>
        <w:tc>
          <w:tcPr>
            <w:tcW w:type="dxa" w:w="3742"/>
          </w:tcPr>
          <w:p>
            <w:r/>
            <w:r>
              <w:rPr>
                <w:sz w:val="15"/>
              </w:rPr>
              <w:t>Inspect scaffold bases, sole boards, ties, bracing, guardrails, toe boards, ladders and decks after storms and high winds, recording location, date and time, findings, inspector and design reference.</w:t>
            </w:r>
          </w:p>
        </w:tc>
        <w:tc>
          <w:tcPr>
            <w:tcW w:type="dxa" w:w="3061"/>
          </w:tcPr>
          <w:p>
            <w:r/>
            <w:r>
              <w:rPr>
                <w:sz w:val="15"/>
              </w:rPr>
              <w:t>ADOSH requires retained weather-event inspection records, not a verbal release.</w:t>
            </w:r>
          </w:p>
        </w:tc>
        <w:tc>
          <w:tcPr>
            <w:tcW w:type="dxa" w:w="2381"/>
          </w:tcPr>
          <w:p>
            <w:r/>
            <w:r>
              <w:rPr>
                <w:sz w:val="15"/>
              </w:rPr>
              <w:t>ADOSH CoP 26.0 [AD5]; HSE work at height [T10]</w:t>
            </w:r>
          </w:p>
        </w:tc>
        <w:tc>
          <w:tcPr>
            <w:tcW w:type="dxa" w:w="1191"/>
          </w:tcPr>
          <w:p>
            <w:r/>
            <w:r>
              <w:rPr>
                <w:sz w:val="15"/>
              </w:rPr>
              <w:t>All UAE</w:t>
            </w:r>
          </w:p>
        </w:tc>
        <w:tc>
          <w:tcPr>
            <w:tcW w:type="dxa" w:w="907"/>
          </w:tcPr>
          <w:p>
            <w:r/>
            <w:r>
              <w:rPr>
                <w:sz w:val="15"/>
              </w:rPr>
              <w:t>High</w:t>
            </w:r>
          </w:p>
        </w:tc>
        <w:tc>
          <w:tcPr>
            <w:tcW w:type="dxa" w:w="1134"/>
          </w:tcPr>
          <w:p>
            <w:r/>
            <w:r>
              <w:rPr>
                <w:sz w:val="15"/>
              </w:rPr>
            </w:r>
          </w:p>
        </w:tc>
        <w:tc>
          <w:tcPr>
            <w:tcW w:type="dxa" w:w="1814"/>
          </w:tcPr>
          <w:p>
            <w:r/>
            <w:r>
              <w:rPr>
                <w:sz w:val="15"/>
              </w:rPr>
            </w:r>
          </w:p>
        </w:tc>
      </w:tr>
      <w:tr>
        <w:trPr>
          <w:cantSplit/>
        </w:trPr>
        <w:tc>
          <w:tcPr>
            <w:tcW w:type="dxa" w:w="510"/>
            <w:shd w:val="clear" w:color="auto" w:fill="F2F6FA"/>
          </w:tcPr>
          <w:p>
            <w:r/>
            <w:r>
              <w:rPr>
                <w:sz w:val="15"/>
              </w:rPr>
              <w:t>56</w:t>
            </w:r>
          </w:p>
        </w:tc>
        <w:tc>
          <w:tcPr>
            <w:tcW w:type="dxa" w:w="3742"/>
            <w:shd w:val="clear" w:color="auto" w:fill="F2F6FA"/>
          </w:tcPr>
          <w:p>
            <w:r/>
            <w:r>
              <w:rPr>
                <w:sz w:val="15"/>
              </w:rPr>
              <w:t>Inspect formwork, falsework, temporary roofs, hoardings, signs and edge protection after rain and wind, secure or dismantle loose items, and maintain lighting, non-slip access and barriers at stairs, ramps, roof edges and openings.</w:t>
            </w:r>
          </w:p>
        </w:tc>
        <w:tc>
          <w:tcPr>
            <w:tcW w:type="dxa" w:w="3061"/>
            <w:shd w:val="clear" w:color="auto" w:fill="F2F6FA"/>
          </w:tcPr>
          <w:p>
            <w:r/>
            <w:r>
              <w:rPr>
                <w:sz w:val="15"/>
              </w:rPr>
              <w:t>Rain, suction and wind change loads and can turn components into projectiles.</w:t>
            </w:r>
          </w:p>
        </w:tc>
        <w:tc>
          <w:tcPr>
            <w:tcW w:type="dxa" w:w="2381"/>
            <w:shd w:val="clear" w:color="auto" w:fill="F2F6FA"/>
          </w:tcPr>
          <w:p>
            <w:r/>
            <w:r>
              <w:rPr>
                <w:sz w:val="15"/>
              </w:rPr>
              <w:t>NCEMA [F3]; HSE work at height [T10]; HFZA EHS kit [SH5]</w:t>
            </w:r>
          </w:p>
        </w:tc>
        <w:tc>
          <w:tcPr>
            <w:tcW w:type="dxa" w:w="1191"/>
            <w:shd w:val="clear" w:color="auto" w:fill="F2F6FA"/>
          </w:tcPr>
          <w:p>
            <w:r/>
            <w:r>
              <w:rPr>
                <w:sz w:val="15"/>
              </w:rPr>
              <w:t>All UAE</w:t>
            </w:r>
          </w:p>
        </w:tc>
        <w:tc>
          <w:tcPr>
            <w:tcW w:type="dxa" w:w="907"/>
            <w:shd w:val="clear" w:color="auto" w:fill="F2F6FA"/>
          </w:tcPr>
          <w:p>
            <w:r/>
            <w:r>
              <w:rPr>
                <w:sz w:val="15"/>
              </w:rPr>
              <w:t>High</w:t>
            </w:r>
          </w:p>
        </w:tc>
        <w:tc>
          <w:tcPr>
            <w:tcW w:type="dxa" w:w="1134"/>
            <w:shd w:val="clear" w:color="auto" w:fill="F2F6FA"/>
          </w:tcPr>
          <w:p>
            <w:r/>
            <w:r>
              <w:rPr>
                <w:sz w:val="15"/>
              </w:rPr>
            </w:r>
          </w:p>
        </w:tc>
        <w:tc>
          <w:tcPr>
            <w:tcW w:type="dxa" w:w="1814"/>
            <w:shd w:val="clear" w:color="auto" w:fill="F2F6FA"/>
          </w:tcPr>
          <w:p>
            <w:r/>
            <w:r>
              <w:rPr>
                <w:sz w:val="15"/>
              </w:rPr>
            </w:r>
          </w:p>
        </w:tc>
      </w:tr>
    </w:tbl>
    <w:p/>
    <w:p>
      <w:pPr>
        <w:pStyle w:val="Heading2"/>
      </w:pPr>
      <w:r>
        <w:t>F. Materials, Storage &amp; Contamination Control</w:t>
      </w:r>
    </w:p>
    <w:tbl>
      <w:tblPr>
        <w:tblStyle w:val="TableGrid"/>
        <w:tblW w:type="auto" w:w="0"/>
        <w:jc w:val="center"/>
        <w:tblLook w:firstColumn="1" w:firstRow="1" w:lastColumn="0" w:lastRow="0" w:noHBand="0" w:noVBand="1" w:val="04A0"/>
        <w:tblLayout w:type="fixed"/>
      </w:tblPr>
      <w:tblGrid>
        <w:gridCol w:w="510"/>
        <w:gridCol w:w="3742"/>
        <w:gridCol w:w="3062"/>
        <w:gridCol w:w="2381"/>
        <w:gridCol w:w="1191"/>
        <w:gridCol w:w="907"/>
        <w:gridCol w:w="1134"/>
        <w:gridCol w:w="1814"/>
      </w:tblGrid>
      <w:tr>
        <w:trPr>
          <w:cantSplit/>
        </w:trPr>
        <w:tc>
          <w:tcPr>
            <w:tcW w:type="dxa" w:w="510"/>
            <w:shd w:val="clear" w:color="auto" w:fill="126E6E"/>
          </w:tcPr>
          <w:p>
            <w:r/>
            <w:r>
              <w:rPr>
                <w:b/>
                <w:color w:val="FFFFFF"/>
                <w:sz w:val="15"/>
              </w:rPr>
              <w:t>#</w:t>
            </w:r>
          </w:p>
        </w:tc>
        <w:tc>
          <w:tcPr>
            <w:tcW w:type="dxa" w:w="3742"/>
            <w:shd w:val="clear" w:color="auto" w:fill="126E6E"/>
          </w:tcPr>
          <w:p>
            <w:r/>
            <w:r>
              <w:rPr>
                <w:b/>
                <w:color w:val="FFFFFF"/>
                <w:sz w:val="15"/>
              </w:rPr>
              <w:t>Check item</w:t>
            </w:r>
          </w:p>
        </w:tc>
        <w:tc>
          <w:tcPr>
            <w:tcW w:type="dxa" w:w="3061"/>
            <w:shd w:val="clear" w:color="auto" w:fill="126E6E"/>
          </w:tcPr>
          <w:p>
            <w:r/>
            <w:r>
              <w:rPr>
                <w:b/>
                <w:color w:val="FFFFFF"/>
                <w:sz w:val="15"/>
              </w:rPr>
              <w:t>Why it matters (risk)</w:t>
            </w:r>
          </w:p>
        </w:tc>
        <w:tc>
          <w:tcPr>
            <w:tcW w:type="dxa" w:w="2381"/>
            <w:shd w:val="clear" w:color="auto" w:fill="126E6E"/>
          </w:tcPr>
          <w:p>
            <w:r/>
            <w:r>
              <w:rPr>
                <w:b/>
                <w:color w:val="FFFFFF"/>
                <w:sz w:val="15"/>
              </w:rPr>
              <w:t>Authority / source reference</w:t>
            </w:r>
          </w:p>
        </w:tc>
        <w:tc>
          <w:tcPr>
            <w:tcW w:type="dxa" w:w="1191"/>
            <w:shd w:val="clear" w:color="auto" w:fill="126E6E"/>
          </w:tcPr>
          <w:p>
            <w:r/>
            <w:r>
              <w:rPr>
                <w:b/>
                <w:color w:val="FFFFFF"/>
                <w:sz w:val="15"/>
              </w:rPr>
              <w:t>Applies to</w:t>
            </w:r>
          </w:p>
        </w:tc>
        <w:tc>
          <w:tcPr>
            <w:tcW w:type="dxa" w:w="907"/>
            <w:shd w:val="clear" w:color="auto" w:fill="126E6E"/>
          </w:tcPr>
          <w:p>
            <w:r/>
            <w:r>
              <w:rPr>
                <w:b/>
                <w:color w:val="FFFFFF"/>
                <w:sz w:val="15"/>
              </w:rPr>
              <w:t>Priority</w:t>
            </w:r>
          </w:p>
        </w:tc>
        <w:tc>
          <w:tcPr>
            <w:tcW w:type="dxa" w:w="1134"/>
            <w:shd w:val="clear" w:color="auto" w:fill="126E6E"/>
          </w:tcPr>
          <w:p>
            <w:r/>
            <w:r>
              <w:rPr>
                <w:b/>
                <w:color w:val="FFFFFF"/>
                <w:sz w:val="15"/>
              </w:rPr>
              <w:t>Status / initials</w:t>
            </w:r>
          </w:p>
        </w:tc>
        <w:tc>
          <w:tcPr>
            <w:tcW w:type="dxa" w:w="1814"/>
            <w:shd w:val="clear" w:color="auto" w:fill="126E6E"/>
          </w:tcPr>
          <w:p>
            <w:r/>
            <w:r>
              <w:rPr>
                <w:b/>
                <w:color w:val="FFFFFF"/>
                <w:sz w:val="15"/>
              </w:rPr>
              <w:t>Evidence reference</w:t>
            </w:r>
          </w:p>
        </w:tc>
      </w:tr>
      <w:tr>
        <w:trPr>
          <w:cantSplit/>
        </w:trPr>
        <w:tc>
          <w:tcPr>
            <w:tcW w:type="dxa" w:w="510"/>
          </w:tcPr>
          <w:p>
            <w:r/>
            <w:r>
              <w:rPr>
                <w:sz w:val="15"/>
              </w:rPr>
              <w:t>57</w:t>
            </w:r>
          </w:p>
        </w:tc>
        <w:tc>
          <w:tcPr>
            <w:tcW w:type="dxa" w:w="3742"/>
          </w:tcPr>
          <w:p>
            <w:r/>
            <w:r>
              <w:rPr>
                <w:sz w:val="15"/>
              </w:rPr>
              <w:t>Store cement, gypsum, insulation, timber and electrical components under cover and above flood level.</w:t>
            </w:r>
          </w:p>
        </w:tc>
        <w:tc>
          <w:tcPr>
            <w:tcW w:type="dxa" w:w="3061"/>
          </w:tcPr>
          <w:p>
            <w:r/>
            <w:r>
              <w:rPr>
                <w:sz w:val="15"/>
              </w:rPr>
              <w:t>Rain degrades materials and makes contaminated or damaged stock unsafe or unusable.</w:t>
            </w:r>
          </w:p>
        </w:tc>
        <w:tc>
          <w:tcPr>
            <w:tcW w:type="dxa" w:w="2381"/>
          </w:tcPr>
          <w:p>
            <w:r/>
            <w:r>
              <w:rPr>
                <w:sz w:val="15"/>
              </w:rPr>
              <w:t>Fujairah Municipality [FU1]; RAKEZ HS&amp;E Regulations [RK6]</w:t>
            </w:r>
          </w:p>
        </w:tc>
        <w:tc>
          <w:tcPr>
            <w:tcW w:type="dxa" w:w="1191"/>
          </w:tcPr>
          <w:p>
            <w:r/>
            <w:r>
              <w:rPr>
                <w:sz w:val="15"/>
              </w:rPr>
              <w:t>All UAE</w:t>
            </w:r>
          </w:p>
        </w:tc>
        <w:tc>
          <w:tcPr>
            <w:tcW w:type="dxa" w:w="907"/>
          </w:tcPr>
          <w:p>
            <w:r/>
            <w:r>
              <w:rPr>
                <w:sz w:val="15"/>
              </w:rPr>
              <w:t>High</w:t>
            </w:r>
          </w:p>
        </w:tc>
        <w:tc>
          <w:tcPr>
            <w:tcW w:type="dxa" w:w="1134"/>
          </w:tcPr>
          <w:p>
            <w:r/>
            <w:r>
              <w:rPr>
                <w:sz w:val="15"/>
              </w:rPr>
            </w:r>
          </w:p>
        </w:tc>
        <w:tc>
          <w:tcPr>
            <w:tcW w:type="dxa" w:w="1814"/>
          </w:tcPr>
          <w:p>
            <w:r/>
            <w:r>
              <w:rPr>
                <w:sz w:val="15"/>
              </w:rPr>
            </w:r>
          </w:p>
        </w:tc>
      </w:tr>
      <w:tr>
        <w:trPr>
          <w:cantSplit/>
        </w:trPr>
        <w:tc>
          <w:tcPr>
            <w:tcW w:type="dxa" w:w="510"/>
            <w:shd w:val="clear" w:color="auto" w:fill="F2F6FA"/>
          </w:tcPr>
          <w:p>
            <w:r/>
            <w:r>
              <w:rPr>
                <w:sz w:val="15"/>
              </w:rPr>
              <w:t>58</w:t>
            </w:r>
          </w:p>
        </w:tc>
        <w:tc>
          <w:tcPr>
            <w:tcW w:type="dxa" w:w="3742"/>
            <w:shd w:val="clear" w:color="auto" w:fill="F2F6FA"/>
          </w:tcPr>
          <w:p>
            <w:r/>
            <w:r>
              <w:rPr>
                <w:sz w:val="15"/>
              </w:rPr>
              <w:t>Quarantine and inspect wet, contaminated, damaged or chemically incompatible materials before use.</w:t>
            </w:r>
          </w:p>
        </w:tc>
        <w:tc>
          <w:tcPr>
            <w:tcW w:type="dxa" w:w="3061"/>
            <w:shd w:val="clear" w:color="auto" w:fill="F2F6FA"/>
          </w:tcPr>
          <w:p>
            <w:r/>
            <w:r>
              <w:rPr>
                <w:sz w:val="15"/>
              </w:rPr>
              <w:t>Apparent drying does not restore material properties or remove contamination.</w:t>
            </w:r>
          </w:p>
        </w:tc>
        <w:tc>
          <w:tcPr>
            <w:tcW w:type="dxa" w:w="2381"/>
            <w:shd w:val="clear" w:color="auto" w:fill="F2F6FA"/>
          </w:tcPr>
          <w:p>
            <w:r/>
            <w:r>
              <w:rPr>
                <w:sz w:val="15"/>
              </w:rPr>
              <w:t>Federal Law No. 24/1999 [F9]; Dubai Green Building Regulations [EN2]</w:t>
            </w:r>
          </w:p>
        </w:tc>
        <w:tc>
          <w:tcPr>
            <w:tcW w:type="dxa" w:w="1191"/>
            <w:shd w:val="clear" w:color="auto" w:fill="F2F6FA"/>
          </w:tcPr>
          <w:p>
            <w:r/>
            <w:r>
              <w:rPr>
                <w:sz w:val="15"/>
              </w:rPr>
              <w:t>All UAE</w:t>
            </w:r>
          </w:p>
        </w:tc>
        <w:tc>
          <w:tcPr>
            <w:tcW w:type="dxa" w:w="907"/>
            <w:shd w:val="clear" w:color="auto" w:fill="F2F6FA"/>
          </w:tcPr>
          <w:p>
            <w:r/>
            <w:r>
              <w:rPr>
                <w:sz w:val="15"/>
              </w:rPr>
              <w:t>Medium</w:t>
            </w:r>
          </w:p>
        </w:tc>
        <w:tc>
          <w:tcPr>
            <w:tcW w:type="dxa" w:w="1134"/>
            <w:shd w:val="clear" w:color="auto" w:fill="F2F6FA"/>
          </w:tcPr>
          <w:p>
            <w:r/>
            <w:r>
              <w:rPr>
                <w:sz w:val="15"/>
              </w:rPr>
            </w:r>
          </w:p>
        </w:tc>
        <w:tc>
          <w:tcPr>
            <w:tcW w:type="dxa" w:w="1814"/>
            <w:shd w:val="clear" w:color="auto" w:fill="F2F6FA"/>
          </w:tcPr>
          <w:p>
            <w:r/>
            <w:r>
              <w:rPr>
                <w:sz w:val="15"/>
              </w:rPr>
            </w:r>
          </w:p>
        </w:tc>
      </w:tr>
      <w:tr>
        <w:trPr>
          <w:cantSplit/>
        </w:trPr>
        <w:tc>
          <w:tcPr>
            <w:tcW w:type="dxa" w:w="510"/>
          </w:tcPr>
          <w:p>
            <w:r/>
            <w:r>
              <w:rPr>
                <w:sz w:val="15"/>
              </w:rPr>
              <w:t>59</w:t>
            </w:r>
          </w:p>
        </w:tc>
        <w:tc>
          <w:tcPr>
            <w:tcW w:type="dxa" w:w="3742"/>
          </w:tcPr>
          <w:p>
            <w:r/>
            <w:r>
              <w:rPr>
                <w:sz w:val="15"/>
              </w:rPr>
              <w:t>Locate fuel, oils, paints, solvents and chemicals in roofed, labelled, compatible secondary containment above ponding level.</w:t>
            </w:r>
          </w:p>
        </w:tc>
        <w:tc>
          <w:tcPr>
            <w:tcW w:type="dxa" w:w="3061"/>
          </w:tcPr>
          <w:p>
            <w:r/>
            <w:r>
              <w:rPr>
                <w:sz w:val="15"/>
              </w:rPr>
              <w:t>Prevents flotation, rain-driven release and incompatible mixing.</w:t>
            </w:r>
          </w:p>
        </w:tc>
        <w:tc>
          <w:tcPr>
            <w:tcW w:type="dxa" w:w="2381"/>
          </w:tcPr>
          <w:p>
            <w:r/>
            <w:r>
              <w:rPr>
                <w:sz w:val="15"/>
              </w:rPr>
              <w:t>Dubai Green Building Regulations [EN2]; RAKEZ HS&amp;E Regulations [RK6]</w:t>
            </w:r>
          </w:p>
        </w:tc>
        <w:tc>
          <w:tcPr>
            <w:tcW w:type="dxa" w:w="1191"/>
          </w:tcPr>
          <w:p>
            <w:r/>
            <w:r>
              <w:rPr>
                <w:sz w:val="15"/>
              </w:rPr>
              <w:t>All UAE</w:t>
            </w:r>
          </w:p>
        </w:tc>
        <w:tc>
          <w:tcPr>
            <w:tcW w:type="dxa" w:w="907"/>
          </w:tcPr>
          <w:p>
            <w:r/>
            <w:r>
              <w:rPr>
                <w:sz w:val="15"/>
              </w:rPr>
              <w:t>Critical</w:t>
            </w:r>
          </w:p>
        </w:tc>
        <w:tc>
          <w:tcPr>
            <w:tcW w:type="dxa" w:w="1134"/>
          </w:tcPr>
          <w:p>
            <w:r/>
            <w:r>
              <w:rPr>
                <w:sz w:val="15"/>
              </w:rPr>
            </w:r>
          </w:p>
        </w:tc>
        <w:tc>
          <w:tcPr>
            <w:tcW w:type="dxa" w:w="1814"/>
          </w:tcPr>
          <w:p>
            <w:r/>
            <w:r>
              <w:rPr>
                <w:sz w:val="15"/>
              </w:rPr>
            </w:r>
          </w:p>
        </w:tc>
      </w:tr>
      <w:tr>
        <w:trPr>
          <w:cantSplit/>
        </w:trPr>
        <w:tc>
          <w:tcPr>
            <w:tcW w:type="dxa" w:w="510"/>
            <w:shd w:val="clear" w:color="auto" w:fill="F2F6FA"/>
          </w:tcPr>
          <w:p>
            <w:r/>
            <w:r>
              <w:rPr>
                <w:sz w:val="15"/>
              </w:rPr>
              <w:t>60</w:t>
            </w:r>
          </w:p>
        </w:tc>
        <w:tc>
          <w:tcPr>
            <w:tcW w:type="dxa" w:w="3742"/>
            <w:shd w:val="clear" w:color="auto" w:fill="F2F6FA"/>
          </w:tcPr>
          <w:p>
            <w:r/>
            <w:r>
              <w:rPr>
                <w:sz w:val="15"/>
              </w:rPr>
              <w:t>Keep chemical bund drains closed and treat accumulated bund rainwater as potentially contaminated.</w:t>
            </w:r>
          </w:p>
        </w:tc>
        <w:tc>
          <w:tcPr>
            <w:tcW w:type="dxa" w:w="3061"/>
            <w:shd w:val="clear" w:color="auto" w:fill="F2F6FA"/>
          </w:tcPr>
          <w:p>
            <w:r/>
            <w:r>
              <w:rPr>
                <w:sz w:val="15"/>
              </w:rPr>
              <w:t>Opening a bund drain can create an unpermitted release.</w:t>
            </w:r>
          </w:p>
        </w:tc>
        <w:tc>
          <w:tcPr>
            <w:tcW w:type="dxa" w:w="2381"/>
            <w:shd w:val="clear" w:color="auto" w:fill="F2F6FA"/>
          </w:tcPr>
          <w:p>
            <w:r/>
            <w:r>
              <w:rPr>
                <w:sz w:val="15"/>
              </w:rPr>
              <w:t>Dubai Green Building Regulations [EN2]</w:t>
            </w:r>
          </w:p>
        </w:tc>
        <w:tc>
          <w:tcPr>
            <w:tcW w:type="dxa" w:w="1191"/>
            <w:shd w:val="clear" w:color="auto" w:fill="F2F6FA"/>
          </w:tcPr>
          <w:p>
            <w:r/>
            <w:r>
              <w:rPr>
                <w:sz w:val="15"/>
              </w:rPr>
              <w:t>All UAE</w:t>
            </w:r>
          </w:p>
        </w:tc>
        <w:tc>
          <w:tcPr>
            <w:tcW w:type="dxa" w:w="907"/>
            <w:shd w:val="clear" w:color="auto" w:fill="F2F6FA"/>
          </w:tcPr>
          <w:p>
            <w:r/>
            <w:r>
              <w:rPr>
                <w:sz w:val="15"/>
              </w:rPr>
              <w:t>High</w:t>
            </w:r>
          </w:p>
        </w:tc>
        <w:tc>
          <w:tcPr>
            <w:tcW w:type="dxa" w:w="1134"/>
            <w:shd w:val="clear" w:color="auto" w:fill="F2F6FA"/>
          </w:tcPr>
          <w:p>
            <w:r/>
            <w:r>
              <w:rPr>
                <w:sz w:val="15"/>
              </w:rPr>
            </w:r>
          </w:p>
        </w:tc>
        <w:tc>
          <w:tcPr>
            <w:tcW w:type="dxa" w:w="1814"/>
            <w:shd w:val="clear" w:color="auto" w:fill="F2F6FA"/>
          </w:tcPr>
          <w:p>
            <w:r/>
            <w:r>
              <w:rPr>
                <w:sz w:val="15"/>
              </w:rPr>
            </w:r>
          </w:p>
        </w:tc>
      </w:tr>
      <w:tr>
        <w:trPr>
          <w:cantSplit/>
        </w:trPr>
        <w:tc>
          <w:tcPr>
            <w:tcW w:type="dxa" w:w="510"/>
          </w:tcPr>
          <w:p>
            <w:r/>
            <w:r>
              <w:rPr>
                <w:sz w:val="15"/>
              </w:rPr>
              <w:t>61</w:t>
            </w:r>
          </w:p>
        </w:tc>
        <w:tc>
          <w:tcPr>
            <w:tcW w:type="dxa" w:w="3742"/>
          </w:tcPr>
          <w:p>
            <w:r/>
            <w:r>
              <w:rPr>
                <w:sz w:val="15"/>
              </w:rPr>
              <w:t>Provide drip trays and absorbent protection under pumps and generators, and supervise refuelling.</w:t>
            </w:r>
          </w:p>
        </w:tc>
        <w:tc>
          <w:tcPr>
            <w:tcW w:type="dxa" w:w="3061"/>
          </w:tcPr>
          <w:p>
            <w:r/>
            <w:r>
              <w:rPr>
                <w:sz w:val="15"/>
              </w:rPr>
              <w:t>Dubai Local Order No. 8/2002 expressly calls for oil-absorbent protection under pumps.</w:t>
            </w:r>
          </w:p>
        </w:tc>
        <w:tc>
          <w:tcPr>
            <w:tcW w:type="dxa" w:w="2381"/>
          </w:tcPr>
          <w:p>
            <w:r/>
            <w:r>
              <w:rPr>
                <w:sz w:val="15"/>
              </w:rPr>
              <w:t>Dubai Local Order No. 8/2002 Art. 28 [EN1]</w:t>
            </w:r>
          </w:p>
        </w:tc>
        <w:tc>
          <w:tcPr>
            <w:tcW w:type="dxa" w:w="1191"/>
          </w:tcPr>
          <w:p>
            <w:r/>
            <w:r>
              <w:rPr>
                <w:sz w:val="15"/>
              </w:rPr>
              <w:t>All UAE</w:t>
            </w:r>
          </w:p>
        </w:tc>
        <w:tc>
          <w:tcPr>
            <w:tcW w:type="dxa" w:w="907"/>
          </w:tcPr>
          <w:p>
            <w:r/>
            <w:r>
              <w:rPr>
                <w:sz w:val="15"/>
              </w:rPr>
              <w:t>High</w:t>
            </w:r>
          </w:p>
        </w:tc>
        <w:tc>
          <w:tcPr>
            <w:tcW w:type="dxa" w:w="1134"/>
          </w:tcPr>
          <w:p>
            <w:r/>
            <w:r>
              <w:rPr>
                <w:sz w:val="15"/>
              </w:rPr>
            </w:r>
          </w:p>
        </w:tc>
        <w:tc>
          <w:tcPr>
            <w:tcW w:type="dxa" w:w="1814"/>
          </w:tcPr>
          <w:p>
            <w:r/>
            <w:r>
              <w:rPr>
                <w:sz w:val="15"/>
              </w:rPr>
            </w:r>
          </w:p>
        </w:tc>
      </w:tr>
      <w:tr>
        <w:trPr>
          <w:cantSplit/>
        </w:trPr>
        <w:tc>
          <w:tcPr>
            <w:tcW w:type="dxa" w:w="510"/>
            <w:shd w:val="clear" w:color="auto" w:fill="F2F6FA"/>
          </w:tcPr>
          <w:p>
            <w:r/>
            <w:r>
              <w:rPr>
                <w:sz w:val="15"/>
              </w:rPr>
              <w:t>62</w:t>
            </w:r>
          </w:p>
        </w:tc>
        <w:tc>
          <w:tcPr>
            <w:tcW w:type="dxa" w:w="3742"/>
            <w:shd w:val="clear" w:color="auto" w:fill="F2F6FA"/>
          </w:tcPr>
          <w:p>
            <w:r/>
            <w:r>
              <w:rPr>
                <w:sz w:val="15"/>
              </w:rPr>
              <w:t>Keep spill kits, drain covers and absorbents at fuel, workshop, chemical, generator and pump locations, with trained responders available.</w:t>
            </w:r>
          </w:p>
        </w:tc>
        <w:tc>
          <w:tcPr>
            <w:tcW w:type="dxa" w:w="3061"/>
            <w:shd w:val="clear" w:color="auto" w:fill="F2F6FA"/>
          </w:tcPr>
          <w:p>
            <w:r/>
            <w:r>
              <w:rPr>
                <w:sz w:val="15"/>
              </w:rPr>
              <w:t>The first minutes decide whether a minor spill reaches a drain or receptor.</w:t>
            </w:r>
          </w:p>
        </w:tc>
        <w:tc>
          <w:tcPr>
            <w:tcW w:type="dxa" w:w="2381"/>
            <w:shd w:val="clear" w:color="auto" w:fill="F2F6FA"/>
          </w:tcPr>
          <w:p>
            <w:r/>
            <w:r>
              <w:rPr>
                <w:sz w:val="15"/>
              </w:rPr>
              <w:t>RAKEZ HS&amp;E Regulations [RK6]; CIRIA [T9]</w:t>
            </w:r>
          </w:p>
        </w:tc>
        <w:tc>
          <w:tcPr>
            <w:tcW w:type="dxa" w:w="1191"/>
            <w:shd w:val="clear" w:color="auto" w:fill="F2F6FA"/>
          </w:tcPr>
          <w:p>
            <w:r/>
            <w:r>
              <w:rPr>
                <w:sz w:val="15"/>
              </w:rPr>
              <w:t>All UAE</w:t>
            </w:r>
          </w:p>
        </w:tc>
        <w:tc>
          <w:tcPr>
            <w:tcW w:type="dxa" w:w="907"/>
            <w:shd w:val="clear" w:color="auto" w:fill="F2F6FA"/>
          </w:tcPr>
          <w:p>
            <w:r/>
            <w:r>
              <w:rPr>
                <w:sz w:val="15"/>
              </w:rPr>
              <w:t>High</w:t>
            </w:r>
          </w:p>
        </w:tc>
        <w:tc>
          <w:tcPr>
            <w:tcW w:type="dxa" w:w="1134"/>
            <w:shd w:val="clear" w:color="auto" w:fill="F2F6FA"/>
          </w:tcPr>
          <w:p>
            <w:r/>
            <w:r>
              <w:rPr>
                <w:sz w:val="15"/>
              </w:rPr>
            </w:r>
          </w:p>
        </w:tc>
        <w:tc>
          <w:tcPr>
            <w:tcW w:type="dxa" w:w="1814"/>
            <w:shd w:val="clear" w:color="auto" w:fill="F2F6FA"/>
          </w:tcPr>
          <w:p>
            <w:r/>
            <w:r>
              <w:rPr>
                <w:sz w:val="15"/>
              </w:rPr>
            </w:r>
          </w:p>
        </w:tc>
      </w:tr>
      <w:tr>
        <w:trPr>
          <w:cantSplit/>
        </w:trPr>
        <w:tc>
          <w:tcPr>
            <w:tcW w:type="dxa" w:w="510"/>
          </w:tcPr>
          <w:p>
            <w:r/>
            <w:r>
              <w:rPr>
                <w:sz w:val="15"/>
              </w:rPr>
              <w:t>63</w:t>
            </w:r>
          </w:p>
        </w:tc>
        <w:tc>
          <w:tcPr>
            <w:tcW w:type="dxa" w:w="3742"/>
          </w:tcPr>
          <w:p>
            <w:r/>
            <w:r>
              <w:rPr>
                <w:sz w:val="15"/>
              </w:rPr>
              <w:t>Use a lined, bunded and signed concrete washout with capacity for planned pours and stormwater separation, and prohibit chute, tool and truck washing to soil, roadways, gullies, wadis or sea.</w:t>
            </w:r>
          </w:p>
        </w:tc>
        <w:tc>
          <w:tcPr>
            <w:tcW w:type="dxa" w:w="3061"/>
          </w:tcPr>
          <w:p>
            <w:r/>
            <w:r>
              <w:rPr>
                <w:sz w:val="15"/>
              </w:rPr>
              <w:t>High-pH washout and cement fines are major runoff pollutants and a direct receptor risk.</w:t>
            </w:r>
          </w:p>
        </w:tc>
        <w:tc>
          <w:tcPr>
            <w:tcW w:type="dxa" w:w="2381"/>
          </w:tcPr>
          <w:p>
            <w:r/>
            <w:r>
              <w:rPr>
                <w:sz w:val="15"/>
              </w:rPr>
              <w:t>Dubai Green Building Regulations [EN2]; CIRIA [T9]; Dubai Local Order No. 8/2002 [EN1]</w:t>
            </w:r>
          </w:p>
        </w:tc>
        <w:tc>
          <w:tcPr>
            <w:tcW w:type="dxa" w:w="1191"/>
          </w:tcPr>
          <w:p>
            <w:r/>
            <w:r>
              <w:rPr>
                <w:sz w:val="15"/>
              </w:rPr>
              <w:t>All UAE</w:t>
            </w:r>
          </w:p>
        </w:tc>
        <w:tc>
          <w:tcPr>
            <w:tcW w:type="dxa" w:w="907"/>
          </w:tcPr>
          <w:p>
            <w:r/>
            <w:r>
              <w:rPr>
                <w:sz w:val="15"/>
              </w:rPr>
              <w:t>Critical</w:t>
            </w:r>
          </w:p>
        </w:tc>
        <w:tc>
          <w:tcPr>
            <w:tcW w:type="dxa" w:w="1134"/>
          </w:tcPr>
          <w:p>
            <w:r/>
            <w:r>
              <w:rPr>
                <w:sz w:val="15"/>
              </w:rPr>
            </w:r>
          </w:p>
        </w:tc>
        <w:tc>
          <w:tcPr>
            <w:tcW w:type="dxa" w:w="1814"/>
          </w:tcPr>
          <w:p>
            <w:r/>
            <w:r>
              <w:rPr>
                <w:sz w:val="15"/>
              </w:rPr>
            </w:r>
          </w:p>
        </w:tc>
      </w:tr>
      <w:tr>
        <w:trPr>
          <w:cantSplit/>
        </w:trPr>
        <w:tc>
          <w:tcPr>
            <w:tcW w:type="dxa" w:w="510"/>
            <w:shd w:val="clear" w:color="auto" w:fill="F2F6FA"/>
          </w:tcPr>
          <w:p>
            <w:r/>
            <w:r>
              <w:rPr>
                <w:sz w:val="15"/>
              </w:rPr>
              <w:t>64</w:t>
            </w:r>
          </w:p>
        </w:tc>
        <w:tc>
          <w:tcPr>
            <w:tcW w:type="dxa" w:w="3742"/>
            <w:shd w:val="clear" w:color="auto" w:fill="F2F6FA"/>
          </w:tcPr>
          <w:p>
            <w:r/>
            <w:r>
              <w:rPr>
                <w:sz w:val="15"/>
              </w:rPr>
              <w:t>Cover and secure construction and demolition skips, packaging, light sheets, rebar bundles, cylinders, formwork and hoardings against wind and flotation.</w:t>
            </w:r>
          </w:p>
        </w:tc>
        <w:tc>
          <w:tcPr>
            <w:tcW w:type="dxa" w:w="3061"/>
            <w:shd w:val="clear" w:color="auto" w:fill="F2F6FA"/>
          </w:tcPr>
          <w:p>
            <w:r/>
            <w:r>
              <w:rPr>
                <w:sz w:val="15"/>
              </w:rPr>
              <w:t>Wind and runoff mobilise materials, block drains and injure people.</w:t>
            </w:r>
          </w:p>
        </w:tc>
        <w:tc>
          <w:tcPr>
            <w:tcW w:type="dxa" w:w="2381"/>
            <w:shd w:val="clear" w:color="auto" w:fill="F2F6FA"/>
          </w:tcPr>
          <w:p>
            <w:r/>
            <w:r>
              <w:rPr>
                <w:sz w:val="15"/>
              </w:rPr>
              <w:t>NCEMA [F3]; Federal Law No. 12/2018 [F11]</w:t>
            </w:r>
          </w:p>
        </w:tc>
        <w:tc>
          <w:tcPr>
            <w:tcW w:type="dxa" w:w="1191"/>
            <w:shd w:val="clear" w:color="auto" w:fill="F2F6FA"/>
          </w:tcPr>
          <w:p>
            <w:r/>
            <w:r>
              <w:rPr>
                <w:sz w:val="15"/>
              </w:rPr>
              <w:t>All UAE</w:t>
            </w:r>
          </w:p>
        </w:tc>
        <w:tc>
          <w:tcPr>
            <w:tcW w:type="dxa" w:w="907"/>
            <w:shd w:val="clear" w:color="auto" w:fill="F2F6FA"/>
          </w:tcPr>
          <w:p>
            <w:r/>
            <w:r>
              <w:rPr>
                <w:sz w:val="15"/>
              </w:rPr>
              <w:t>High</w:t>
            </w:r>
          </w:p>
        </w:tc>
        <w:tc>
          <w:tcPr>
            <w:tcW w:type="dxa" w:w="1134"/>
            <w:shd w:val="clear" w:color="auto" w:fill="F2F6FA"/>
          </w:tcPr>
          <w:p>
            <w:r/>
            <w:r>
              <w:rPr>
                <w:sz w:val="15"/>
              </w:rPr>
            </w:r>
          </w:p>
        </w:tc>
        <w:tc>
          <w:tcPr>
            <w:tcW w:type="dxa" w:w="1814"/>
            <w:shd w:val="clear" w:color="auto" w:fill="F2F6FA"/>
          </w:tcPr>
          <w:p>
            <w:r/>
            <w:r>
              <w:rPr>
                <w:sz w:val="15"/>
              </w:rPr>
            </w:r>
          </w:p>
        </w:tc>
      </w:tr>
      <w:tr>
        <w:trPr>
          <w:cantSplit/>
        </w:trPr>
        <w:tc>
          <w:tcPr>
            <w:tcW w:type="dxa" w:w="510"/>
          </w:tcPr>
          <w:p>
            <w:r/>
            <w:r>
              <w:rPr>
                <w:sz w:val="15"/>
              </w:rPr>
              <w:t>65</w:t>
            </w:r>
          </w:p>
        </w:tc>
        <w:tc>
          <w:tcPr>
            <w:tcW w:type="dxa" w:w="3742"/>
          </w:tcPr>
          <w:p>
            <w:r/>
            <w:r>
              <w:rPr>
                <w:sz w:val="15"/>
              </w:rPr>
              <w:t>Segregate construction and demolition, hazardous, oil, sewage and general waste in labelled containers, prevent rainwater ingress, and retain manifests and receiving tickets.</w:t>
            </w:r>
          </w:p>
        </w:tc>
        <w:tc>
          <w:tcPr>
            <w:tcW w:type="dxa" w:w="3061"/>
          </w:tcPr>
          <w:p>
            <w:r/>
            <w:r>
              <w:rPr>
                <w:sz w:val="15"/>
              </w:rPr>
              <w:t>Federal waste law requires controlled routes and C&amp;D segregation; records demonstrate compliance.</w:t>
            </w:r>
          </w:p>
        </w:tc>
        <w:tc>
          <w:tcPr>
            <w:tcW w:type="dxa" w:w="2381"/>
          </w:tcPr>
          <w:p>
            <w:r/>
            <w:r>
              <w:rPr>
                <w:sz w:val="15"/>
              </w:rPr>
              <w:t>Federal Law No. 12/2018 [F11]; Dubai Green Building Regulations [EN2]</w:t>
            </w:r>
          </w:p>
        </w:tc>
        <w:tc>
          <w:tcPr>
            <w:tcW w:type="dxa" w:w="1191"/>
          </w:tcPr>
          <w:p>
            <w:r/>
            <w:r>
              <w:rPr>
                <w:sz w:val="15"/>
              </w:rPr>
              <w:t>All UAE</w:t>
            </w:r>
          </w:p>
        </w:tc>
        <w:tc>
          <w:tcPr>
            <w:tcW w:type="dxa" w:w="907"/>
          </w:tcPr>
          <w:p>
            <w:r/>
            <w:r>
              <w:rPr>
                <w:sz w:val="15"/>
              </w:rPr>
              <w:t>High</w:t>
            </w:r>
          </w:p>
        </w:tc>
        <w:tc>
          <w:tcPr>
            <w:tcW w:type="dxa" w:w="1134"/>
          </w:tcPr>
          <w:p>
            <w:r/>
            <w:r>
              <w:rPr>
                <w:sz w:val="15"/>
              </w:rPr>
            </w:r>
          </w:p>
        </w:tc>
        <w:tc>
          <w:tcPr>
            <w:tcW w:type="dxa" w:w="1814"/>
          </w:tcPr>
          <w:p>
            <w:r/>
            <w:r>
              <w:rPr>
                <w:sz w:val="15"/>
              </w:rPr>
            </w:r>
          </w:p>
        </w:tc>
      </w:tr>
      <w:tr>
        <w:trPr>
          <w:cantSplit/>
        </w:trPr>
        <w:tc>
          <w:tcPr>
            <w:tcW w:type="dxa" w:w="510"/>
            <w:shd w:val="clear" w:color="auto" w:fill="F2F6FA"/>
          </w:tcPr>
          <w:p>
            <w:r/>
            <w:r>
              <w:rPr>
                <w:sz w:val="15"/>
              </w:rPr>
              <w:t>66</w:t>
            </w:r>
          </w:p>
        </w:tc>
        <w:tc>
          <w:tcPr>
            <w:tcW w:type="dxa" w:w="3742"/>
            <w:shd w:val="clear" w:color="auto" w:fill="F2F6FA"/>
          </w:tcPr>
          <w:p>
            <w:r/>
            <w:r>
              <w:rPr>
                <w:sz w:val="15"/>
              </w:rPr>
              <w:t>Cover and stabilise stockpiles with perimeter sediment controls while preserving designed drainage paths, and keep an up-to-date chemical inventory and SDS pack at the gate and control room.</w:t>
            </w:r>
          </w:p>
        </w:tc>
        <w:tc>
          <w:tcPr>
            <w:tcW w:type="dxa" w:w="3061"/>
            <w:shd w:val="clear" w:color="auto" w:fill="F2F6FA"/>
          </w:tcPr>
          <w:p>
            <w:r/>
            <w:r>
              <w:rPr>
                <w:sz w:val="15"/>
              </w:rPr>
              <w:t>Exposed soil is a direct source of silt and blockage, and responders need fast hazard information.</w:t>
            </w:r>
          </w:p>
        </w:tc>
        <w:tc>
          <w:tcPr>
            <w:tcW w:type="dxa" w:w="2381"/>
            <w:shd w:val="clear" w:color="auto" w:fill="F2F6FA"/>
          </w:tcPr>
          <w:p>
            <w:r/>
            <w:r>
              <w:rPr>
                <w:sz w:val="15"/>
              </w:rPr>
              <w:t>CIRIA [T9]; Dubai Green Building Regulations [EN2]; RAKEZ HS&amp;E Regulations [RK6]</w:t>
            </w:r>
          </w:p>
        </w:tc>
        <w:tc>
          <w:tcPr>
            <w:tcW w:type="dxa" w:w="1191"/>
            <w:shd w:val="clear" w:color="auto" w:fill="F2F6FA"/>
          </w:tcPr>
          <w:p>
            <w:r/>
            <w:r>
              <w:rPr>
                <w:sz w:val="15"/>
              </w:rPr>
              <w:t>All UAE</w:t>
            </w:r>
          </w:p>
        </w:tc>
        <w:tc>
          <w:tcPr>
            <w:tcW w:type="dxa" w:w="907"/>
            <w:shd w:val="clear" w:color="auto" w:fill="F2F6FA"/>
          </w:tcPr>
          <w:p>
            <w:r/>
            <w:r>
              <w:rPr>
                <w:sz w:val="15"/>
              </w:rPr>
              <w:t>High</w:t>
            </w:r>
          </w:p>
        </w:tc>
        <w:tc>
          <w:tcPr>
            <w:tcW w:type="dxa" w:w="1134"/>
            <w:shd w:val="clear" w:color="auto" w:fill="F2F6FA"/>
          </w:tcPr>
          <w:p>
            <w:r/>
            <w:r>
              <w:rPr>
                <w:sz w:val="15"/>
              </w:rPr>
            </w:r>
          </w:p>
        </w:tc>
        <w:tc>
          <w:tcPr>
            <w:tcW w:type="dxa" w:w="1814"/>
            <w:shd w:val="clear" w:color="auto" w:fill="F2F6FA"/>
          </w:tcPr>
          <w:p>
            <w:r/>
            <w:r>
              <w:rPr>
                <w:sz w:val="15"/>
              </w:rPr>
            </w:r>
          </w:p>
        </w:tc>
      </w:tr>
    </w:tbl>
    <w:p/>
    <w:p>
      <w:pPr>
        <w:pStyle w:val="Heading2"/>
      </w:pPr>
      <w:r>
        <w:t>G. Welfare, Accommodation &amp; Worker Health</w:t>
      </w:r>
    </w:p>
    <w:tbl>
      <w:tblPr>
        <w:tblStyle w:val="TableGrid"/>
        <w:tblW w:type="auto" w:w="0"/>
        <w:jc w:val="center"/>
        <w:tblLook w:firstColumn="1" w:firstRow="1" w:lastColumn="0" w:lastRow="0" w:noHBand="0" w:noVBand="1" w:val="04A0"/>
        <w:tblLayout w:type="fixed"/>
      </w:tblPr>
      <w:tblGrid>
        <w:gridCol w:w="510"/>
        <w:gridCol w:w="3742"/>
        <w:gridCol w:w="3062"/>
        <w:gridCol w:w="2381"/>
        <w:gridCol w:w="1191"/>
        <w:gridCol w:w="907"/>
        <w:gridCol w:w="1134"/>
        <w:gridCol w:w="1814"/>
      </w:tblGrid>
      <w:tr>
        <w:trPr>
          <w:cantSplit/>
        </w:trPr>
        <w:tc>
          <w:tcPr>
            <w:tcW w:type="dxa" w:w="510"/>
            <w:shd w:val="clear" w:color="auto" w:fill="126E6E"/>
          </w:tcPr>
          <w:p>
            <w:r/>
            <w:r>
              <w:rPr>
                <w:b/>
                <w:color w:val="FFFFFF"/>
                <w:sz w:val="15"/>
              </w:rPr>
              <w:t>#</w:t>
            </w:r>
          </w:p>
        </w:tc>
        <w:tc>
          <w:tcPr>
            <w:tcW w:type="dxa" w:w="3742"/>
            <w:shd w:val="clear" w:color="auto" w:fill="126E6E"/>
          </w:tcPr>
          <w:p>
            <w:r/>
            <w:r>
              <w:rPr>
                <w:b/>
                <w:color w:val="FFFFFF"/>
                <w:sz w:val="15"/>
              </w:rPr>
              <w:t>Check item</w:t>
            </w:r>
          </w:p>
        </w:tc>
        <w:tc>
          <w:tcPr>
            <w:tcW w:type="dxa" w:w="3061"/>
            <w:shd w:val="clear" w:color="auto" w:fill="126E6E"/>
          </w:tcPr>
          <w:p>
            <w:r/>
            <w:r>
              <w:rPr>
                <w:b/>
                <w:color w:val="FFFFFF"/>
                <w:sz w:val="15"/>
              </w:rPr>
              <w:t>Why it matters (risk)</w:t>
            </w:r>
          </w:p>
        </w:tc>
        <w:tc>
          <w:tcPr>
            <w:tcW w:type="dxa" w:w="2381"/>
            <w:shd w:val="clear" w:color="auto" w:fill="126E6E"/>
          </w:tcPr>
          <w:p>
            <w:r/>
            <w:r>
              <w:rPr>
                <w:b/>
                <w:color w:val="FFFFFF"/>
                <w:sz w:val="15"/>
              </w:rPr>
              <w:t>Authority / source reference</w:t>
            </w:r>
          </w:p>
        </w:tc>
        <w:tc>
          <w:tcPr>
            <w:tcW w:type="dxa" w:w="1191"/>
            <w:shd w:val="clear" w:color="auto" w:fill="126E6E"/>
          </w:tcPr>
          <w:p>
            <w:r/>
            <w:r>
              <w:rPr>
                <w:b/>
                <w:color w:val="FFFFFF"/>
                <w:sz w:val="15"/>
              </w:rPr>
              <w:t>Applies to</w:t>
            </w:r>
          </w:p>
        </w:tc>
        <w:tc>
          <w:tcPr>
            <w:tcW w:type="dxa" w:w="907"/>
            <w:shd w:val="clear" w:color="auto" w:fill="126E6E"/>
          </w:tcPr>
          <w:p>
            <w:r/>
            <w:r>
              <w:rPr>
                <w:b/>
                <w:color w:val="FFFFFF"/>
                <w:sz w:val="15"/>
              </w:rPr>
              <w:t>Priority</w:t>
            </w:r>
          </w:p>
        </w:tc>
        <w:tc>
          <w:tcPr>
            <w:tcW w:type="dxa" w:w="1134"/>
            <w:shd w:val="clear" w:color="auto" w:fill="126E6E"/>
          </w:tcPr>
          <w:p>
            <w:r/>
            <w:r>
              <w:rPr>
                <w:b/>
                <w:color w:val="FFFFFF"/>
                <w:sz w:val="15"/>
              </w:rPr>
              <w:t>Status / initials</w:t>
            </w:r>
          </w:p>
        </w:tc>
        <w:tc>
          <w:tcPr>
            <w:tcW w:type="dxa" w:w="1814"/>
            <w:shd w:val="clear" w:color="auto" w:fill="126E6E"/>
          </w:tcPr>
          <w:p>
            <w:r/>
            <w:r>
              <w:rPr>
                <w:b/>
                <w:color w:val="FFFFFF"/>
                <w:sz w:val="15"/>
              </w:rPr>
              <w:t>Evidence reference</w:t>
            </w:r>
          </w:p>
        </w:tc>
      </w:tr>
      <w:tr>
        <w:trPr>
          <w:cantSplit/>
        </w:trPr>
        <w:tc>
          <w:tcPr>
            <w:tcW w:type="dxa" w:w="510"/>
          </w:tcPr>
          <w:p>
            <w:r/>
            <w:r>
              <w:rPr>
                <w:sz w:val="15"/>
              </w:rPr>
              <w:t>67</w:t>
            </w:r>
          </w:p>
        </w:tc>
        <w:tc>
          <w:tcPr>
            <w:tcW w:type="dxa" w:w="3742"/>
          </w:tcPr>
          <w:p>
            <w:r/>
            <w:r>
              <w:rPr>
                <w:sz w:val="15"/>
              </w:rPr>
              <w:t>Inspect accommodation roofs, drainage, electrical rooms, exits, fire systems and access paths before and after rain.</w:t>
            </w:r>
          </w:p>
        </w:tc>
        <w:tc>
          <w:tcPr>
            <w:tcW w:type="dxa" w:w="3061"/>
          </w:tcPr>
          <w:p>
            <w:r/>
            <w:r>
              <w:rPr>
                <w:sz w:val="15"/>
              </w:rPr>
              <w:t>Accommodation carries water, sewage, egress and fire requirements and may flood before the worksite.</w:t>
            </w:r>
          </w:p>
        </w:tc>
        <w:tc>
          <w:tcPr>
            <w:tcW w:type="dxa" w:w="2381"/>
          </w:tcPr>
          <w:p>
            <w:r/>
            <w:r>
              <w:rPr>
                <w:sz w:val="15"/>
              </w:rPr>
              <w:t>UAE labour accommodation standards [F8]</w:t>
            </w:r>
          </w:p>
        </w:tc>
        <w:tc>
          <w:tcPr>
            <w:tcW w:type="dxa" w:w="1191"/>
          </w:tcPr>
          <w:p>
            <w:r/>
            <w:r>
              <w:rPr>
                <w:sz w:val="15"/>
              </w:rPr>
              <w:t>All UAE</w:t>
            </w:r>
          </w:p>
        </w:tc>
        <w:tc>
          <w:tcPr>
            <w:tcW w:type="dxa" w:w="907"/>
          </w:tcPr>
          <w:p>
            <w:r/>
            <w:r>
              <w:rPr>
                <w:sz w:val="15"/>
              </w:rPr>
              <w:t>High</w:t>
            </w:r>
          </w:p>
        </w:tc>
        <w:tc>
          <w:tcPr>
            <w:tcW w:type="dxa" w:w="1134"/>
          </w:tcPr>
          <w:p>
            <w:r/>
            <w:r>
              <w:rPr>
                <w:sz w:val="15"/>
              </w:rPr>
            </w:r>
          </w:p>
        </w:tc>
        <w:tc>
          <w:tcPr>
            <w:tcW w:type="dxa" w:w="1814"/>
          </w:tcPr>
          <w:p>
            <w:r/>
            <w:r>
              <w:rPr>
                <w:sz w:val="15"/>
              </w:rPr>
            </w:r>
          </w:p>
        </w:tc>
      </w:tr>
      <w:tr>
        <w:trPr>
          <w:cantSplit/>
        </w:trPr>
        <w:tc>
          <w:tcPr>
            <w:tcW w:type="dxa" w:w="510"/>
            <w:shd w:val="clear" w:color="auto" w:fill="F2F6FA"/>
          </w:tcPr>
          <w:p>
            <w:r/>
            <w:r>
              <w:rPr>
                <w:sz w:val="15"/>
              </w:rPr>
              <w:t>68</w:t>
            </w:r>
          </w:p>
        </w:tc>
        <w:tc>
          <w:tcPr>
            <w:tcW w:type="dxa" w:w="3742"/>
            <w:shd w:val="clear" w:color="auto" w:fill="F2F6FA"/>
          </w:tcPr>
          <w:p>
            <w:r/>
            <w:r>
              <w:rPr>
                <w:sz w:val="15"/>
              </w:rPr>
              <w:t>Keep accommodation and welfare facilities away from rainwater drainage channels and keep emergency exits clear.</w:t>
            </w:r>
          </w:p>
        </w:tc>
        <w:tc>
          <w:tcPr>
            <w:tcW w:type="dxa" w:w="3061"/>
            <w:shd w:val="clear" w:color="auto" w:fill="F2F6FA"/>
          </w:tcPr>
          <w:p>
            <w:r/>
            <w:r>
              <w:rPr>
                <w:sz w:val="15"/>
              </w:rPr>
              <w:t>Federal accommodation standards specifically address siting and emergency exits.</w:t>
            </w:r>
          </w:p>
        </w:tc>
        <w:tc>
          <w:tcPr>
            <w:tcW w:type="dxa" w:w="2381"/>
            <w:shd w:val="clear" w:color="auto" w:fill="F2F6FA"/>
          </w:tcPr>
          <w:p>
            <w:r/>
            <w:r>
              <w:rPr>
                <w:sz w:val="15"/>
              </w:rPr>
              <w:t>UAE labour accommodation standards [F8]</w:t>
            </w:r>
          </w:p>
        </w:tc>
        <w:tc>
          <w:tcPr>
            <w:tcW w:type="dxa" w:w="1191"/>
            <w:shd w:val="clear" w:color="auto" w:fill="F2F6FA"/>
          </w:tcPr>
          <w:p>
            <w:r/>
            <w:r>
              <w:rPr>
                <w:sz w:val="15"/>
              </w:rPr>
              <w:t>All UAE</w:t>
            </w:r>
          </w:p>
        </w:tc>
        <w:tc>
          <w:tcPr>
            <w:tcW w:type="dxa" w:w="907"/>
            <w:shd w:val="clear" w:color="auto" w:fill="F2F6FA"/>
          </w:tcPr>
          <w:p>
            <w:r/>
            <w:r>
              <w:rPr>
                <w:sz w:val="15"/>
              </w:rPr>
              <w:t>High</w:t>
            </w:r>
          </w:p>
        </w:tc>
        <w:tc>
          <w:tcPr>
            <w:tcW w:type="dxa" w:w="1134"/>
            <w:shd w:val="clear" w:color="auto" w:fill="F2F6FA"/>
          </w:tcPr>
          <w:p>
            <w:r/>
            <w:r>
              <w:rPr>
                <w:sz w:val="15"/>
              </w:rPr>
            </w:r>
          </w:p>
        </w:tc>
        <w:tc>
          <w:tcPr>
            <w:tcW w:type="dxa" w:w="1814"/>
            <w:shd w:val="clear" w:color="auto" w:fill="F2F6FA"/>
          </w:tcPr>
          <w:p>
            <w:r/>
            <w:r>
              <w:rPr>
                <w:sz w:val="15"/>
              </w:rPr>
            </w:r>
          </w:p>
        </w:tc>
      </w:tr>
      <w:tr>
        <w:trPr>
          <w:cantSplit/>
        </w:trPr>
        <w:tc>
          <w:tcPr>
            <w:tcW w:type="dxa" w:w="510"/>
          </w:tcPr>
          <w:p>
            <w:r/>
            <w:r>
              <w:rPr>
                <w:sz w:val="15"/>
              </w:rPr>
              <w:t>69</w:t>
            </w:r>
          </w:p>
        </w:tc>
        <w:tc>
          <w:tcPr>
            <w:tcW w:type="dxa" w:w="3742"/>
          </w:tcPr>
          <w:p>
            <w:r/>
            <w:r>
              <w:rPr>
                <w:sz w:val="15"/>
              </w:rPr>
              <w:t>Protect potable-water tanks, hose ends, dispensers and fill points from floodwater, chemicals and backflow.</w:t>
            </w:r>
          </w:p>
        </w:tc>
        <w:tc>
          <w:tcPr>
            <w:tcW w:type="dxa" w:w="3061"/>
          </w:tcPr>
          <w:p>
            <w:r/>
            <w:r>
              <w:rPr>
                <w:sz w:val="15"/>
              </w:rPr>
              <w:t>Floodwater contact is a potential public-health incident, not merely a cleaning issue.</w:t>
            </w:r>
          </w:p>
        </w:tc>
        <w:tc>
          <w:tcPr>
            <w:tcW w:type="dxa" w:w="2381"/>
          </w:tcPr>
          <w:p>
            <w:r/>
            <w:r>
              <w:rPr>
                <w:sz w:val="15"/>
              </w:rPr>
              <w:t>Federal Law No. 13/2020 [F10]; Dubai Green Building Regulations [EN2]</w:t>
            </w:r>
          </w:p>
        </w:tc>
        <w:tc>
          <w:tcPr>
            <w:tcW w:type="dxa" w:w="1191"/>
          </w:tcPr>
          <w:p>
            <w:r/>
            <w:r>
              <w:rPr>
                <w:sz w:val="15"/>
              </w:rPr>
              <w:t>All UAE</w:t>
            </w:r>
          </w:p>
        </w:tc>
        <w:tc>
          <w:tcPr>
            <w:tcW w:type="dxa" w:w="907"/>
          </w:tcPr>
          <w:p>
            <w:r/>
            <w:r>
              <w:rPr>
                <w:sz w:val="15"/>
              </w:rPr>
              <w:t>Critical</w:t>
            </w:r>
          </w:p>
        </w:tc>
        <w:tc>
          <w:tcPr>
            <w:tcW w:type="dxa" w:w="1134"/>
          </w:tcPr>
          <w:p>
            <w:r/>
            <w:r>
              <w:rPr>
                <w:sz w:val="15"/>
              </w:rPr>
            </w:r>
          </w:p>
        </w:tc>
        <w:tc>
          <w:tcPr>
            <w:tcW w:type="dxa" w:w="1814"/>
          </w:tcPr>
          <w:p>
            <w:r/>
            <w:r>
              <w:rPr>
                <w:sz w:val="15"/>
              </w:rPr>
            </w:r>
          </w:p>
        </w:tc>
      </w:tr>
      <w:tr>
        <w:trPr>
          <w:cantSplit/>
        </w:trPr>
        <w:tc>
          <w:tcPr>
            <w:tcW w:type="dxa" w:w="510"/>
            <w:shd w:val="clear" w:color="auto" w:fill="F2F6FA"/>
          </w:tcPr>
          <w:p>
            <w:r/>
            <w:r>
              <w:rPr>
                <w:sz w:val="15"/>
              </w:rPr>
              <w:t>70</w:t>
            </w:r>
          </w:p>
        </w:tc>
        <w:tc>
          <w:tcPr>
            <w:tcW w:type="dxa" w:w="3742"/>
            <w:shd w:val="clear" w:color="auto" w:fill="F2F6FA"/>
          </w:tcPr>
          <w:p>
            <w:r/>
            <w:r>
              <w:rPr>
                <w:sz w:val="15"/>
              </w:rPr>
              <w:t>Isolate, disinfect and sample suspect potable-water systems and provide sealed alternative drinking water until results clear the supply.</w:t>
            </w:r>
          </w:p>
        </w:tc>
        <w:tc>
          <w:tcPr>
            <w:tcW w:type="dxa" w:w="3061"/>
            <w:shd w:val="clear" w:color="auto" w:fill="F2F6FA"/>
          </w:tcPr>
          <w:p>
            <w:r/>
            <w:r>
              <w:rPr>
                <w:sz w:val="15"/>
              </w:rPr>
              <w:t>Consumption must stop when the supply may be unsafe.</w:t>
            </w:r>
          </w:p>
        </w:tc>
        <w:tc>
          <w:tcPr>
            <w:tcW w:type="dxa" w:w="2381"/>
            <w:shd w:val="clear" w:color="auto" w:fill="F2F6FA"/>
          </w:tcPr>
          <w:p>
            <w:r/>
            <w:r>
              <w:rPr>
                <w:sz w:val="15"/>
              </w:rPr>
              <w:t>Abu Dhabi DoE Water Quality Regulations 2025 [EN3]; Dubai Green Building Regulations [EN2]</w:t>
            </w:r>
          </w:p>
        </w:tc>
        <w:tc>
          <w:tcPr>
            <w:tcW w:type="dxa" w:w="1191"/>
            <w:shd w:val="clear" w:color="auto" w:fill="F2F6FA"/>
          </w:tcPr>
          <w:p>
            <w:r/>
            <w:r>
              <w:rPr>
                <w:sz w:val="15"/>
              </w:rPr>
              <w:t>All UAE</w:t>
            </w:r>
          </w:p>
        </w:tc>
        <w:tc>
          <w:tcPr>
            <w:tcW w:type="dxa" w:w="907"/>
            <w:shd w:val="clear" w:color="auto" w:fill="F2F6FA"/>
          </w:tcPr>
          <w:p>
            <w:r/>
            <w:r>
              <w:rPr>
                <w:sz w:val="15"/>
              </w:rPr>
              <w:t>Critical</w:t>
            </w:r>
          </w:p>
        </w:tc>
        <w:tc>
          <w:tcPr>
            <w:tcW w:type="dxa" w:w="1134"/>
            <w:shd w:val="clear" w:color="auto" w:fill="F2F6FA"/>
          </w:tcPr>
          <w:p>
            <w:r/>
            <w:r>
              <w:rPr>
                <w:sz w:val="15"/>
              </w:rPr>
            </w:r>
          </w:p>
        </w:tc>
        <w:tc>
          <w:tcPr>
            <w:tcW w:type="dxa" w:w="1814"/>
            <w:shd w:val="clear" w:color="auto" w:fill="F2F6FA"/>
          </w:tcPr>
          <w:p>
            <w:r/>
            <w:r>
              <w:rPr>
                <w:sz w:val="15"/>
              </w:rPr>
            </w:r>
          </w:p>
        </w:tc>
      </w:tr>
      <w:tr>
        <w:trPr>
          <w:cantSplit/>
        </w:trPr>
        <w:tc>
          <w:tcPr>
            <w:tcW w:type="dxa" w:w="510"/>
          </w:tcPr>
          <w:p>
            <w:r/>
            <w:r>
              <w:rPr>
                <w:sz w:val="15"/>
              </w:rPr>
              <w:t>71</w:t>
            </w:r>
          </w:p>
        </w:tc>
        <w:tc>
          <w:tcPr>
            <w:tcW w:type="dxa" w:w="3742"/>
          </w:tcPr>
          <w:p>
            <w:r/>
            <w:r>
              <w:rPr>
                <w:sz w:val="15"/>
              </w:rPr>
              <w:t>Inspect toilets, septic and holding tanks, sewage pumps, hoses and access for overflow, and maintain high-level alarms and tanker contingency.</w:t>
            </w:r>
          </w:p>
        </w:tc>
        <w:tc>
          <w:tcPr>
            <w:tcW w:type="dxa" w:w="3061"/>
          </w:tcPr>
          <w:p>
            <w:r/>
            <w:r>
              <w:rPr>
                <w:sz w:val="15"/>
              </w:rPr>
              <w:t>Sewage overflow creates disease and environmental exposure and must never enter stormwater.</w:t>
            </w:r>
          </w:p>
        </w:tc>
        <w:tc>
          <w:tcPr>
            <w:tcW w:type="dxa" w:w="2381"/>
          </w:tcPr>
          <w:p>
            <w:r/>
            <w:r>
              <w:rPr>
                <w:sz w:val="15"/>
              </w:rPr>
              <w:t>Dubai Local Order No. 8/2002 [EN1]; Federal Law No. 13/2020 [F10]</w:t>
            </w:r>
          </w:p>
        </w:tc>
        <w:tc>
          <w:tcPr>
            <w:tcW w:type="dxa" w:w="1191"/>
          </w:tcPr>
          <w:p>
            <w:r/>
            <w:r>
              <w:rPr>
                <w:sz w:val="15"/>
              </w:rPr>
              <w:t>All UAE</w:t>
            </w:r>
          </w:p>
        </w:tc>
        <w:tc>
          <w:tcPr>
            <w:tcW w:type="dxa" w:w="907"/>
          </w:tcPr>
          <w:p>
            <w:r/>
            <w:r>
              <w:rPr>
                <w:sz w:val="15"/>
              </w:rPr>
              <w:t>Critical</w:t>
            </w:r>
          </w:p>
        </w:tc>
        <w:tc>
          <w:tcPr>
            <w:tcW w:type="dxa" w:w="1134"/>
          </w:tcPr>
          <w:p>
            <w:r/>
            <w:r>
              <w:rPr>
                <w:sz w:val="15"/>
              </w:rPr>
            </w:r>
          </w:p>
        </w:tc>
        <w:tc>
          <w:tcPr>
            <w:tcW w:type="dxa" w:w="1814"/>
          </w:tcPr>
          <w:p>
            <w:r/>
            <w:r>
              <w:rPr>
                <w:sz w:val="15"/>
              </w:rPr>
            </w:r>
          </w:p>
        </w:tc>
      </w:tr>
      <w:tr>
        <w:trPr>
          <w:cantSplit/>
        </w:trPr>
        <w:tc>
          <w:tcPr>
            <w:tcW w:type="dxa" w:w="510"/>
            <w:shd w:val="clear" w:color="auto" w:fill="F2F6FA"/>
          </w:tcPr>
          <w:p>
            <w:r/>
            <w:r>
              <w:rPr>
                <w:sz w:val="15"/>
              </w:rPr>
              <w:t>72</w:t>
            </w:r>
          </w:p>
        </w:tc>
        <w:tc>
          <w:tcPr>
            <w:tcW w:type="dxa" w:w="3742"/>
            <w:shd w:val="clear" w:color="auto" w:fill="F2F6FA"/>
          </w:tcPr>
          <w:p>
            <w:r/>
            <w:r>
              <w:rPr>
                <w:sz w:val="15"/>
              </w:rPr>
              <w:t>Protect kitchens, food stores and food-contact materials from roof leaks, floodwater, pests and chemicals, and discard food exposed to floodwater.</w:t>
            </w:r>
          </w:p>
        </w:tc>
        <w:tc>
          <w:tcPr>
            <w:tcW w:type="dxa" w:w="3061"/>
            <w:shd w:val="clear" w:color="auto" w:fill="F2F6FA"/>
          </w:tcPr>
          <w:p>
            <w:r/>
            <w:r>
              <w:rPr>
                <w:sz w:val="15"/>
              </w:rPr>
              <w:t>Food safety requires hygienic controls; flood-exposed food cannot be treated as saleable or safe.</w:t>
            </w:r>
          </w:p>
        </w:tc>
        <w:tc>
          <w:tcPr>
            <w:tcW w:type="dxa" w:w="2381"/>
            <w:shd w:val="clear" w:color="auto" w:fill="F2F6FA"/>
          </w:tcPr>
          <w:p>
            <w:r/>
            <w:r>
              <w:rPr>
                <w:sz w:val="15"/>
              </w:rPr>
              <w:t>ADAFSA Code of Practice No. 29/2019 [EN4]; labour accommodation standards [F8]</w:t>
            </w:r>
          </w:p>
        </w:tc>
        <w:tc>
          <w:tcPr>
            <w:tcW w:type="dxa" w:w="1191"/>
            <w:shd w:val="clear" w:color="auto" w:fill="F2F6FA"/>
          </w:tcPr>
          <w:p>
            <w:r/>
            <w:r>
              <w:rPr>
                <w:sz w:val="15"/>
              </w:rPr>
              <w:t>All UAE</w:t>
            </w:r>
          </w:p>
        </w:tc>
        <w:tc>
          <w:tcPr>
            <w:tcW w:type="dxa" w:w="907"/>
            <w:shd w:val="clear" w:color="auto" w:fill="F2F6FA"/>
          </w:tcPr>
          <w:p>
            <w:r/>
            <w:r>
              <w:rPr>
                <w:sz w:val="15"/>
              </w:rPr>
              <w:t>High</w:t>
            </w:r>
          </w:p>
        </w:tc>
        <w:tc>
          <w:tcPr>
            <w:tcW w:type="dxa" w:w="1134"/>
            <w:shd w:val="clear" w:color="auto" w:fill="F2F6FA"/>
          </w:tcPr>
          <w:p>
            <w:r/>
            <w:r>
              <w:rPr>
                <w:sz w:val="15"/>
              </w:rPr>
            </w:r>
          </w:p>
        </w:tc>
        <w:tc>
          <w:tcPr>
            <w:tcW w:type="dxa" w:w="1814"/>
            <w:shd w:val="clear" w:color="auto" w:fill="F2F6FA"/>
          </w:tcPr>
          <w:p>
            <w:r/>
            <w:r>
              <w:rPr>
                <w:sz w:val="15"/>
              </w:rPr>
            </w:r>
          </w:p>
        </w:tc>
      </w:tr>
      <w:tr>
        <w:trPr>
          <w:cantSplit/>
        </w:trPr>
        <w:tc>
          <w:tcPr>
            <w:tcW w:type="dxa" w:w="510"/>
          </w:tcPr>
          <w:p>
            <w:r/>
            <w:r>
              <w:rPr>
                <w:sz w:val="15"/>
              </w:rPr>
              <w:t>73</w:t>
            </w:r>
          </w:p>
        </w:tc>
        <w:tc>
          <w:tcPr>
            <w:tcW w:type="dxa" w:w="3742"/>
          </w:tcPr>
          <w:p>
            <w:r/>
            <w:r>
              <w:rPr>
                <w:sz w:val="15"/>
              </w:rPr>
              <w:t>After rain, verify refrigeration, temperature records, handwashing water, pest activity and food traceability.</w:t>
            </w:r>
          </w:p>
        </w:tc>
        <w:tc>
          <w:tcPr>
            <w:tcW w:type="dxa" w:w="3061"/>
          </w:tcPr>
          <w:p>
            <w:r/>
            <w:r>
              <w:rPr>
                <w:sz w:val="15"/>
              </w:rPr>
              <w:t>Flooding can break food-control critical limits even when the kitchen remains open.</w:t>
            </w:r>
          </w:p>
        </w:tc>
        <w:tc>
          <w:tcPr>
            <w:tcW w:type="dxa" w:w="2381"/>
          </w:tcPr>
          <w:p>
            <w:r/>
            <w:r>
              <w:rPr>
                <w:sz w:val="15"/>
              </w:rPr>
              <w:t>ADAFSA Code of Practice No. 29/2019 [EN4]</w:t>
            </w:r>
          </w:p>
        </w:tc>
        <w:tc>
          <w:tcPr>
            <w:tcW w:type="dxa" w:w="1191"/>
          </w:tcPr>
          <w:p>
            <w:r/>
            <w:r>
              <w:rPr>
                <w:sz w:val="15"/>
              </w:rPr>
              <w:t>All UAE</w:t>
            </w:r>
          </w:p>
        </w:tc>
        <w:tc>
          <w:tcPr>
            <w:tcW w:type="dxa" w:w="907"/>
          </w:tcPr>
          <w:p>
            <w:r/>
            <w:r>
              <w:rPr>
                <w:sz w:val="15"/>
              </w:rPr>
              <w:t>Medium</w:t>
            </w:r>
          </w:p>
        </w:tc>
        <w:tc>
          <w:tcPr>
            <w:tcW w:type="dxa" w:w="1134"/>
          </w:tcPr>
          <w:p>
            <w:r/>
            <w:r>
              <w:rPr>
                <w:sz w:val="15"/>
              </w:rPr>
            </w:r>
          </w:p>
        </w:tc>
        <w:tc>
          <w:tcPr>
            <w:tcW w:type="dxa" w:w="1814"/>
          </w:tcPr>
          <w:p>
            <w:r/>
            <w:r>
              <w:rPr>
                <w:sz w:val="15"/>
              </w:rPr>
            </w:r>
          </w:p>
        </w:tc>
      </w:tr>
      <w:tr>
        <w:trPr>
          <w:cantSplit/>
        </w:trPr>
        <w:tc>
          <w:tcPr>
            <w:tcW w:type="dxa" w:w="510"/>
            <w:shd w:val="clear" w:color="auto" w:fill="F2F6FA"/>
          </w:tcPr>
          <w:p>
            <w:r/>
            <w:r>
              <w:rPr>
                <w:sz w:val="15"/>
              </w:rPr>
              <w:t>74</w:t>
            </w:r>
          </w:p>
        </w:tc>
        <w:tc>
          <w:tcPr>
            <w:tcW w:type="dxa" w:w="3742"/>
            <w:shd w:val="clear" w:color="auto" w:fill="F2F6FA"/>
          </w:tcPr>
          <w:p>
            <w:r/>
            <w:r>
              <w:rPr>
                <w:sz w:val="15"/>
              </w:rPr>
              <w:t>Remove standing water and arrange approved pest management where mosquitoes, flies or rodents become a risk.</w:t>
            </w:r>
          </w:p>
        </w:tc>
        <w:tc>
          <w:tcPr>
            <w:tcW w:type="dxa" w:w="3061"/>
            <w:shd w:val="clear" w:color="auto" w:fill="F2F6FA"/>
          </w:tcPr>
          <w:p>
            <w:r/>
            <w:r>
              <w:rPr>
                <w:sz w:val="15"/>
              </w:rPr>
              <w:t>Post-April 2024 municipal action targeted stagnant water, drains and construction sites.</w:t>
            </w:r>
          </w:p>
        </w:tc>
        <w:tc>
          <w:tcPr>
            <w:tcW w:type="dxa" w:w="2381"/>
            <w:shd w:val="clear" w:color="auto" w:fill="F2F6FA"/>
          </w:tcPr>
          <w:p>
            <w:r/>
            <w:r>
              <w:rPr>
                <w:sz w:val="15"/>
              </w:rPr>
              <w:t>Dubai post-rain pest control [EV4]; Dubai Municipality [DB1]</w:t>
            </w:r>
          </w:p>
        </w:tc>
        <w:tc>
          <w:tcPr>
            <w:tcW w:type="dxa" w:w="1191"/>
            <w:shd w:val="clear" w:color="auto" w:fill="F2F6FA"/>
          </w:tcPr>
          <w:p>
            <w:r/>
            <w:r>
              <w:rPr>
                <w:sz w:val="15"/>
              </w:rPr>
              <w:t>All UAE</w:t>
            </w:r>
          </w:p>
        </w:tc>
        <w:tc>
          <w:tcPr>
            <w:tcW w:type="dxa" w:w="907"/>
            <w:shd w:val="clear" w:color="auto" w:fill="F2F6FA"/>
          </w:tcPr>
          <w:p>
            <w:r/>
            <w:r>
              <w:rPr>
                <w:sz w:val="15"/>
              </w:rPr>
              <w:t>Medium</w:t>
            </w:r>
          </w:p>
        </w:tc>
        <w:tc>
          <w:tcPr>
            <w:tcW w:type="dxa" w:w="1134"/>
            <w:shd w:val="clear" w:color="auto" w:fill="F2F6FA"/>
          </w:tcPr>
          <w:p>
            <w:r/>
            <w:r>
              <w:rPr>
                <w:sz w:val="15"/>
              </w:rPr>
            </w:r>
          </w:p>
        </w:tc>
        <w:tc>
          <w:tcPr>
            <w:tcW w:type="dxa" w:w="1814"/>
            <w:shd w:val="clear" w:color="auto" w:fill="F2F6FA"/>
          </w:tcPr>
          <w:p>
            <w:r/>
            <w:r>
              <w:rPr>
                <w:sz w:val="15"/>
              </w:rPr>
            </w:r>
          </w:p>
        </w:tc>
      </w:tr>
      <w:tr>
        <w:trPr>
          <w:cantSplit/>
        </w:trPr>
        <w:tc>
          <w:tcPr>
            <w:tcW w:type="dxa" w:w="510"/>
          </w:tcPr>
          <w:p>
            <w:r/>
            <w:r>
              <w:rPr>
                <w:sz w:val="15"/>
              </w:rPr>
              <w:t>75</w:t>
            </w:r>
          </w:p>
        </w:tc>
        <w:tc>
          <w:tcPr>
            <w:tcW w:type="dxa" w:w="3742"/>
          </w:tcPr>
          <w:p>
            <w:r/>
            <w:r>
              <w:rPr>
                <w:sz w:val="15"/>
              </w:rPr>
              <w:t>Provide dry changing space, waterproof PPE, slip-resistant footwear and a safe route to transport and accommodation.</w:t>
            </w:r>
          </w:p>
        </w:tc>
        <w:tc>
          <w:tcPr>
            <w:tcW w:type="dxa" w:w="3061"/>
          </w:tcPr>
          <w:p>
            <w:r/>
            <w:r>
              <w:rPr>
                <w:sz w:val="15"/>
              </w:rPr>
              <w:t>Wet clothing, slips and stranded transport affect worker health and attendance.</w:t>
            </w:r>
          </w:p>
        </w:tc>
        <w:tc>
          <w:tcPr>
            <w:tcW w:type="dxa" w:w="2381"/>
          </w:tcPr>
          <w:p>
            <w:r/>
            <w:r>
              <w:rPr>
                <w:sz w:val="15"/>
              </w:rPr>
              <w:t>Fujairah Municipality [FU1]; MOHRE circular [F6]</w:t>
            </w:r>
          </w:p>
        </w:tc>
        <w:tc>
          <w:tcPr>
            <w:tcW w:type="dxa" w:w="1191"/>
          </w:tcPr>
          <w:p>
            <w:r/>
            <w:r>
              <w:rPr>
                <w:sz w:val="15"/>
              </w:rPr>
              <w:t>All UAE</w:t>
            </w:r>
          </w:p>
        </w:tc>
        <w:tc>
          <w:tcPr>
            <w:tcW w:type="dxa" w:w="907"/>
          </w:tcPr>
          <w:p>
            <w:r/>
            <w:r>
              <w:rPr>
                <w:sz w:val="15"/>
              </w:rPr>
              <w:t>Medium</w:t>
            </w:r>
          </w:p>
        </w:tc>
        <w:tc>
          <w:tcPr>
            <w:tcW w:type="dxa" w:w="1134"/>
          </w:tcPr>
          <w:p>
            <w:r/>
            <w:r>
              <w:rPr>
                <w:sz w:val="15"/>
              </w:rPr>
            </w:r>
          </w:p>
        </w:tc>
        <w:tc>
          <w:tcPr>
            <w:tcW w:type="dxa" w:w="1814"/>
          </w:tcPr>
          <w:p>
            <w:r/>
            <w:r>
              <w:rPr>
                <w:sz w:val="15"/>
              </w:rPr>
            </w:r>
          </w:p>
        </w:tc>
      </w:tr>
      <w:tr>
        <w:trPr>
          <w:cantSplit/>
        </w:trPr>
        <w:tc>
          <w:tcPr>
            <w:tcW w:type="dxa" w:w="510"/>
            <w:shd w:val="clear" w:color="auto" w:fill="F2F6FA"/>
          </w:tcPr>
          <w:p>
            <w:r/>
            <w:r>
              <w:rPr>
                <w:sz w:val="15"/>
              </w:rPr>
              <w:t>76</w:t>
            </w:r>
          </w:p>
        </w:tc>
        <w:tc>
          <w:tcPr>
            <w:tcW w:type="dxa" w:w="3742"/>
            <w:shd w:val="clear" w:color="auto" w:fill="F2F6FA"/>
          </w:tcPr>
          <w:p>
            <w:r/>
            <w:r>
              <w:rPr>
                <w:sz w:val="15"/>
              </w:rPr>
              <w:t>Keep first-aid kits, medicines, emergency lighting and communication devices above expected flood level.</w:t>
            </w:r>
          </w:p>
        </w:tc>
        <w:tc>
          <w:tcPr>
            <w:tcW w:type="dxa" w:w="3061"/>
            <w:shd w:val="clear" w:color="auto" w:fill="F2F6FA"/>
          </w:tcPr>
          <w:p>
            <w:r/>
            <w:r>
              <w:rPr>
                <w:sz w:val="15"/>
              </w:rPr>
              <w:t>Response equipment must be usable when welfare cabins or power are affected.</w:t>
            </w:r>
          </w:p>
        </w:tc>
        <w:tc>
          <w:tcPr>
            <w:tcW w:type="dxa" w:w="2381"/>
            <w:shd w:val="clear" w:color="auto" w:fill="F2F6FA"/>
          </w:tcPr>
          <w:p>
            <w:r/>
            <w:r>
              <w:rPr>
                <w:sz w:val="15"/>
              </w:rPr>
              <w:t>RAKEZ HS&amp;E Regulations [RK6]; Civil Defence Decree-Law 35/2024 [F5]</w:t>
            </w:r>
          </w:p>
        </w:tc>
        <w:tc>
          <w:tcPr>
            <w:tcW w:type="dxa" w:w="1191"/>
            <w:shd w:val="clear" w:color="auto" w:fill="F2F6FA"/>
          </w:tcPr>
          <w:p>
            <w:r/>
            <w:r>
              <w:rPr>
                <w:sz w:val="15"/>
              </w:rPr>
              <w:t>All UAE</w:t>
            </w:r>
          </w:p>
        </w:tc>
        <w:tc>
          <w:tcPr>
            <w:tcW w:type="dxa" w:w="907"/>
            <w:shd w:val="clear" w:color="auto" w:fill="F2F6FA"/>
          </w:tcPr>
          <w:p>
            <w:r/>
            <w:r>
              <w:rPr>
                <w:sz w:val="15"/>
              </w:rPr>
              <w:t>High</w:t>
            </w:r>
          </w:p>
        </w:tc>
        <w:tc>
          <w:tcPr>
            <w:tcW w:type="dxa" w:w="1134"/>
            <w:shd w:val="clear" w:color="auto" w:fill="F2F6FA"/>
          </w:tcPr>
          <w:p>
            <w:r/>
            <w:r>
              <w:rPr>
                <w:sz w:val="15"/>
              </w:rPr>
            </w:r>
          </w:p>
        </w:tc>
        <w:tc>
          <w:tcPr>
            <w:tcW w:type="dxa" w:w="1814"/>
            <w:shd w:val="clear" w:color="auto" w:fill="F2F6FA"/>
          </w:tcPr>
          <w:p>
            <w:r/>
            <w:r>
              <w:rPr>
                <w:sz w:val="15"/>
              </w:rPr>
            </w:r>
          </w:p>
        </w:tc>
      </w:tr>
      <w:tr>
        <w:trPr>
          <w:cantSplit/>
        </w:trPr>
        <w:tc>
          <w:tcPr>
            <w:tcW w:type="dxa" w:w="510"/>
          </w:tcPr>
          <w:p>
            <w:r/>
            <w:r>
              <w:rPr>
                <w:sz w:val="15"/>
              </w:rPr>
              <w:t>77</w:t>
            </w:r>
          </w:p>
        </w:tc>
        <w:tc>
          <w:tcPr>
            <w:tcW w:type="dxa" w:w="3742"/>
          </w:tcPr>
          <w:p>
            <w:r/>
            <w:r>
              <w:rPr>
                <w:sz w:val="15"/>
              </w:rPr>
              <w:t>Maintain headcount, welfare-contact and transport-continuity arrangements, allow safe delayed travel, and record qualifying weather transit delay as working time.</w:t>
            </w:r>
          </w:p>
        </w:tc>
        <w:tc>
          <w:tcPr>
            <w:tcW w:type="dxa" w:w="3061"/>
          </w:tcPr>
          <w:p>
            <w:r/>
            <w:r>
              <w:rPr>
                <w:sz w:val="15"/>
              </w:rPr>
              <w:t>Cabinet Resolution No. 1/2022 Article 15 protects qualifying weather transit delay; April 2024 caused major access disruption.</w:t>
            </w:r>
          </w:p>
        </w:tc>
        <w:tc>
          <w:tcPr>
            <w:tcW w:type="dxa" w:w="2381"/>
          </w:tcPr>
          <w:p>
            <w:r/>
            <w:r>
              <w:rPr>
                <w:sz w:val="15"/>
              </w:rPr>
              <w:t>Cabinet Resolution No. 1/2022 Art. 15 [F7]; MOI/NCEMA April 2024 response [EV2]</w:t>
            </w:r>
          </w:p>
        </w:tc>
        <w:tc>
          <w:tcPr>
            <w:tcW w:type="dxa" w:w="1191"/>
          </w:tcPr>
          <w:p>
            <w:r/>
            <w:r>
              <w:rPr>
                <w:sz w:val="15"/>
              </w:rPr>
              <w:t>All UAE</w:t>
            </w:r>
          </w:p>
        </w:tc>
        <w:tc>
          <w:tcPr>
            <w:tcW w:type="dxa" w:w="907"/>
          </w:tcPr>
          <w:p>
            <w:r/>
            <w:r>
              <w:rPr>
                <w:sz w:val="15"/>
              </w:rPr>
              <w:t>High</w:t>
            </w:r>
          </w:p>
        </w:tc>
        <w:tc>
          <w:tcPr>
            <w:tcW w:type="dxa" w:w="1134"/>
          </w:tcPr>
          <w:p>
            <w:r/>
            <w:r>
              <w:rPr>
                <w:sz w:val="15"/>
              </w:rPr>
            </w:r>
          </w:p>
        </w:tc>
        <w:tc>
          <w:tcPr>
            <w:tcW w:type="dxa" w:w="1814"/>
          </w:tcPr>
          <w:p>
            <w:r/>
            <w:r>
              <w:rPr>
                <w:sz w:val="15"/>
              </w:rPr>
            </w:r>
          </w:p>
        </w:tc>
      </w:tr>
    </w:tbl>
    <w:p/>
    <w:p>
      <w:pPr>
        <w:pStyle w:val="Heading2"/>
      </w:pPr>
      <w:r>
        <w:t>H. Environmental Protection &amp; Pollution Prevention</w:t>
      </w:r>
    </w:p>
    <w:tbl>
      <w:tblPr>
        <w:tblStyle w:val="TableGrid"/>
        <w:tblW w:type="auto" w:w="0"/>
        <w:jc w:val="center"/>
        <w:tblLook w:firstColumn="1" w:firstRow="1" w:lastColumn="0" w:lastRow="0" w:noHBand="0" w:noVBand="1" w:val="04A0"/>
        <w:tblLayout w:type="fixed"/>
      </w:tblPr>
      <w:tblGrid>
        <w:gridCol w:w="510"/>
        <w:gridCol w:w="3742"/>
        <w:gridCol w:w="3062"/>
        <w:gridCol w:w="2381"/>
        <w:gridCol w:w="1191"/>
        <w:gridCol w:w="907"/>
        <w:gridCol w:w="1134"/>
        <w:gridCol w:w="1814"/>
      </w:tblGrid>
      <w:tr>
        <w:trPr>
          <w:cantSplit/>
        </w:trPr>
        <w:tc>
          <w:tcPr>
            <w:tcW w:type="dxa" w:w="510"/>
            <w:shd w:val="clear" w:color="auto" w:fill="126E6E"/>
          </w:tcPr>
          <w:p>
            <w:r/>
            <w:r>
              <w:rPr>
                <w:b/>
                <w:color w:val="FFFFFF"/>
                <w:sz w:val="15"/>
              </w:rPr>
              <w:t>#</w:t>
            </w:r>
          </w:p>
        </w:tc>
        <w:tc>
          <w:tcPr>
            <w:tcW w:type="dxa" w:w="3742"/>
            <w:shd w:val="clear" w:color="auto" w:fill="126E6E"/>
          </w:tcPr>
          <w:p>
            <w:r/>
            <w:r>
              <w:rPr>
                <w:b/>
                <w:color w:val="FFFFFF"/>
                <w:sz w:val="15"/>
              </w:rPr>
              <w:t>Check item</w:t>
            </w:r>
          </w:p>
        </w:tc>
        <w:tc>
          <w:tcPr>
            <w:tcW w:type="dxa" w:w="3061"/>
            <w:shd w:val="clear" w:color="auto" w:fill="126E6E"/>
          </w:tcPr>
          <w:p>
            <w:r/>
            <w:r>
              <w:rPr>
                <w:b/>
                <w:color w:val="FFFFFF"/>
                <w:sz w:val="15"/>
              </w:rPr>
              <w:t>Why it matters (risk)</w:t>
            </w:r>
          </w:p>
        </w:tc>
        <w:tc>
          <w:tcPr>
            <w:tcW w:type="dxa" w:w="2381"/>
            <w:shd w:val="clear" w:color="auto" w:fill="126E6E"/>
          </w:tcPr>
          <w:p>
            <w:r/>
            <w:r>
              <w:rPr>
                <w:b/>
                <w:color w:val="FFFFFF"/>
                <w:sz w:val="15"/>
              </w:rPr>
              <w:t>Authority / source reference</w:t>
            </w:r>
          </w:p>
        </w:tc>
        <w:tc>
          <w:tcPr>
            <w:tcW w:type="dxa" w:w="1191"/>
            <w:shd w:val="clear" w:color="auto" w:fill="126E6E"/>
          </w:tcPr>
          <w:p>
            <w:r/>
            <w:r>
              <w:rPr>
                <w:b/>
                <w:color w:val="FFFFFF"/>
                <w:sz w:val="15"/>
              </w:rPr>
              <w:t>Applies to</w:t>
            </w:r>
          </w:p>
        </w:tc>
        <w:tc>
          <w:tcPr>
            <w:tcW w:type="dxa" w:w="907"/>
            <w:shd w:val="clear" w:color="auto" w:fill="126E6E"/>
          </w:tcPr>
          <w:p>
            <w:r/>
            <w:r>
              <w:rPr>
                <w:b/>
                <w:color w:val="FFFFFF"/>
                <w:sz w:val="15"/>
              </w:rPr>
              <w:t>Priority</w:t>
            </w:r>
          </w:p>
        </w:tc>
        <w:tc>
          <w:tcPr>
            <w:tcW w:type="dxa" w:w="1134"/>
            <w:shd w:val="clear" w:color="auto" w:fill="126E6E"/>
          </w:tcPr>
          <w:p>
            <w:r/>
            <w:r>
              <w:rPr>
                <w:b/>
                <w:color w:val="FFFFFF"/>
                <w:sz w:val="15"/>
              </w:rPr>
              <w:t>Status / initials</w:t>
            </w:r>
          </w:p>
        </w:tc>
        <w:tc>
          <w:tcPr>
            <w:tcW w:type="dxa" w:w="1814"/>
            <w:shd w:val="clear" w:color="auto" w:fill="126E6E"/>
          </w:tcPr>
          <w:p>
            <w:r/>
            <w:r>
              <w:rPr>
                <w:b/>
                <w:color w:val="FFFFFF"/>
                <w:sz w:val="15"/>
              </w:rPr>
              <w:t>Evidence reference</w:t>
            </w:r>
          </w:p>
        </w:tc>
      </w:tr>
      <w:tr>
        <w:trPr>
          <w:cantSplit/>
        </w:trPr>
        <w:tc>
          <w:tcPr>
            <w:tcW w:type="dxa" w:w="510"/>
          </w:tcPr>
          <w:p>
            <w:r/>
            <w:r>
              <w:rPr>
                <w:sz w:val="15"/>
              </w:rPr>
              <w:t>78</w:t>
            </w:r>
          </w:p>
        </w:tc>
        <w:tc>
          <w:tcPr>
            <w:tcW w:type="dxa" w:w="3742"/>
          </w:tcPr>
          <w:p>
            <w:r/>
            <w:r>
              <w:rPr>
                <w:sz w:val="15"/>
              </w:rPr>
              <w:t>Keep the environmental clearance or CEMP, dewatering approval, discharge drawing and incident contacts at the site office and pump station.</w:t>
            </w:r>
          </w:p>
        </w:tc>
        <w:tc>
          <w:tcPr>
            <w:tcW w:type="dxa" w:w="3061"/>
          </w:tcPr>
          <w:p>
            <w:r/>
            <w:r>
              <w:rPr>
                <w:sz w:val="15"/>
              </w:rPr>
              <w:t>Controls are permit-specific and field teams need approved conditions at the point of work.</w:t>
            </w:r>
          </w:p>
        </w:tc>
        <w:tc>
          <w:tcPr>
            <w:tcW w:type="dxa" w:w="2381"/>
          </w:tcPr>
          <w:p>
            <w:r/>
            <w:r>
              <w:rPr>
                <w:sz w:val="15"/>
              </w:rPr>
              <w:t>Dubai Environmental Clearance guidance [DB2]; Dubai Local Order No. 8/2002 [EN1]</w:t>
            </w:r>
          </w:p>
        </w:tc>
        <w:tc>
          <w:tcPr>
            <w:tcW w:type="dxa" w:w="1191"/>
          </w:tcPr>
          <w:p>
            <w:r/>
            <w:r>
              <w:rPr>
                <w:sz w:val="15"/>
              </w:rPr>
              <w:t>All UAE</w:t>
            </w:r>
          </w:p>
        </w:tc>
        <w:tc>
          <w:tcPr>
            <w:tcW w:type="dxa" w:w="907"/>
          </w:tcPr>
          <w:p>
            <w:r/>
            <w:r>
              <w:rPr>
                <w:sz w:val="15"/>
              </w:rPr>
              <w:t>High</w:t>
            </w:r>
          </w:p>
        </w:tc>
        <w:tc>
          <w:tcPr>
            <w:tcW w:type="dxa" w:w="1134"/>
          </w:tcPr>
          <w:p>
            <w:r/>
            <w:r>
              <w:rPr>
                <w:sz w:val="15"/>
              </w:rPr>
            </w:r>
          </w:p>
        </w:tc>
        <w:tc>
          <w:tcPr>
            <w:tcW w:type="dxa" w:w="1814"/>
          </w:tcPr>
          <w:p>
            <w:r/>
            <w:r>
              <w:rPr>
                <w:sz w:val="15"/>
              </w:rPr>
            </w:r>
          </w:p>
        </w:tc>
      </w:tr>
      <w:tr>
        <w:trPr>
          <w:cantSplit/>
        </w:trPr>
        <w:tc>
          <w:tcPr>
            <w:tcW w:type="dxa" w:w="510"/>
            <w:shd w:val="clear" w:color="auto" w:fill="F2F6FA"/>
          </w:tcPr>
          <w:p>
            <w:r/>
            <w:r>
              <w:rPr>
                <w:sz w:val="15"/>
              </w:rPr>
              <w:t>79</w:t>
            </w:r>
          </w:p>
        </w:tc>
        <w:tc>
          <w:tcPr>
            <w:tcW w:type="dxa" w:w="3742"/>
            <w:shd w:val="clear" w:color="auto" w:fill="F2F6FA"/>
          </w:tcPr>
          <w:p>
            <w:r/>
            <w:r>
              <w:rPr>
                <w:sz w:val="15"/>
              </w:rPr>
              <w:t>Map drains, wadis, groundwater, beaches, mangroves, tidal channels, outfalls and protected areas as sensitive receptors.</w:t>
            </w:r>
          </w:p>
        </w:tc>
        <w:tc>
          <w:tcPr>
            <w:tcW w:type="dxa" w:w="3061"/>
            <w:shd w:val="clear" w:color="auto" w:fill="F2F6FA"/>
          </w:tcPr>
          <w:p>
            <w:r/>
            <w:r>
              <w:rPr>
                <w:sz w:val="15"/>
              </w:rPr>
              <w:t>The runoff route and receptor determine the severity and approval pathway of a release.</w:t>
            </w:r>
          </w:p>
        </w:tc>
        <w:tc>
          <w:tcPr>
            <w:tcW w:type="dxa" w:w="2381"/>
            <w:shd w:val="clear" w:color="auto" w:fill="F2F6FA"/>
          </w:tcPr>
          <w:p>
            <w:r/>
            <w:r>
              <w:rPr>
                <w:sz w:val="15"/>
              </w:rPr>
              <w:t>Federal Law No. 24/1999 [F9]; EAD mangrove guidelines [AD7]</w:t>
            </w:r>
          </w:p>
        </w:tc>
        <w:tc>
          <w:tcPr>
            <w:tcW w:type="dxa" w:w="1191"/>
            <w:shd w:val="clear" w:color="auto" w:fill="F2F6FA"/>
          </w:tcPr>
          <w:p>
            <w:r/>
            <w:r>
              <w:rPr>
                <w:sz w:val="15"/>
              </w:rPr>
              <w:t>All UAE</w:t>
            </w:r>
          </w:p>
        </w:tc>
        <w:tc>
          <w:tcPr>
            <w:tcW w:type="dxa" w:w="907"/>
            <w:shd w:val="clear" w:color="auto" w:fill="F2F6FA"/>
          </w:tcPr>
          <w:p>
            <w:r/>
            <w:r>
              <w:rPr>
                <w:sz w:val="15"/>
              </w:rPr>
              <w:t>High</w:t>
            </w:r>
          </w:p>
        </w:tc>
        <w:tc>
          <w:tcPr>
            <w:tcW w:type="dxa" w:w="1134"/>
            <w:shd w:val="clear" w:color="auto" w:fill="F2F6FA"/>
          </w:tcPr>
          <w:p>
            <w:r/>
            <w:r>
              <w:rPr>
                <w:sz w:val="15"/>
              </w:rPr>
            </w:r>
          </w:p>
        </w:tc>
        <w:tc>
          <w:tcPr>
            <w:tcW w:type="dxa" w:w="1814"/>
            <w:shd w:val="clear" w:color="auto" w:fill="F2F6FA"/>
          </w:tcPr>
          <w:p>
            <w:r/>
            <w:r>
              <w:rPr>
                <w:sz w:val="15"/>
              </w:rPr>
            </w:r>
          </w:p>
        </w:tc>
      </w:tr>
      <w:tr>
        <w:trPr>
          <w:cantSplit/>
        </w:trPr>
        <w:tc>
          <w:tcPr>
            <w:tcW w:type="dxa" w:w="510"/>
          </w:tcPr>
          <w:p>
            <w:r/>
            <w:r>
              <w:rPr>
                <w:sz w:val="15"/>
              </w:rPr>
              <w:t>80</w:t>
            </w:r>
          </w:p>
        </w:tc>
        <w:tc>
          <w:tcPr>
            <w:tcW w:type="dxa" w:w="3742"/>
          </w:tcPr>
          <w:p>
            <w:r/>
            <w:r>
              <w:rPr>
                <w:sz w:val="15"/>
              </w:rPr>
              <w:t>Set and mark no-go buffers around mangroves, tidal channels, seagrass, coast and protected habitats, and obtain permits before any intervention.</w:t>
            </w:r>
          </w:p>
        </w:tc>
        <w:tc>
          <w:tcPr>
            <w:tcW w:type="dxa" w:w="3061"/>
          </w:tcPr>
          <w:p>
            <w:r/>
            <w:r>
              <w:rPr>
                <w:sz w:val="15"/>
              </w:rPr>
              <w:t>Avoidance of mature mangrove and habitat impact is the stated priority; permits are required first.</w:t>
            </w:r>
          </w:p>
        </w:tc>
        <w:tc>
          <w:tcPr>
            <w:tcW w:type="dxa" w:w="2381"/>
          </w:tcPr>
          <w:p>
            <w:r/>
            <w:r>
              <w:rPr>
                <w:sz w:val="15"/>
              </w:rPr>
              <w:t>EAD mangrove guidelines [AD7]; Al Sinniyah Island [UA4]</w:t>
            </w:r>
          </w:p>
        </w:tc>
        <w:tc>
          <w:tcPr>
            <w:tcW w:type="dxa" w:w="1191"/>
          </w:tcPr>
          <w:p>
            <w:r/>
            <w:r>
              <w:rPr>
                <w:sz w:val="15"/>
              </w:rPr>
              <w:t>All UAE</w:t>
            </w:r>
          </w:p>
        </w:tc>
        <w:tc>
          <w:tcPr>
            <w:tcW w:type="dxa" w:w="907"/>
          </w:tcPr>
          <w:p>
            <w:r/>
            <w:r>
              <w:rPr>
                <w:sz w:val="15"/>
              </w:rPr>
              <w:t>High</w:t>
            </w:r>
          </w:p>
        </w:tc>
        <w:tc>
          <w:tcPr>
            <w:tcW w:type="dxa" w:w="1134"/>
          </w:tcPr>
          <w:p>
            <w:r/>
            <w:r>
              <w:rPr>
                <w:sz w:val="15"/>
              </w:rPr>
            </w:r>
          </w:p>
        </w:tc>
        <w:tc>
          <w:tcPr>
            <w:tcW w:type="dxa" w:w="1814"/>
          </w:tcPr>
          <w:p>
            <w:r/>
            <w:r>
              <w:rPr>
                <w:sz w:val="15"/>
              </w:rPr>
            </w:r>
          </w:p>
        </w:tc>
      </w:tr>
      <w:tr>
        <w:trPr>
          <w:cantSplit/>
        </w:trPr>
        <w:tc>
          <w:tcPr>
            <w:tcW w:type="dxa" w:w="510"/>
            <w:shd w:val="clear" w:color="auto" w:fill="F2F6FA"/>
          </w:tcPr>
          <w:p>
            <w:r/>
            <w:r>
              <w:rPr>
                <w:sz w:val="15"/>
              </w:rPr>
              <w:t>81</w:t>
            </w:r>
          </w:p>
        </w:tc>
        <w:tc>
          <w:tcPr>
            <w:tcW w:type="dxa" w:w="3742"/>
            <w:shd w:val="clear" w:color="auto" w:fill="F2F6FA"/>
          </w:tcPr>
          <w:p>
            <w:r/>
            <w:r>
              <w:rPr>
                <w:sz w:val="15"/>
              </w:rPr>
              <w:t>Never treat a dewatering NOC as permission for sewage, oily water, concrete washout or contaminated groundwater.</w:t>
            </w:r>
          </w:p>
        </w:tc>
        <w:tc>
          <w:tcPr>
            <w:tcW w:type="dxa" w:w="3061"/>
            <w:shd w:val="clear" w:color="auto" w:fill="F2F6FA"/>
          </w:tcPr>
          <w:p>
            <w:r/>
            <w:r>
              <w:rPr>
                <w:sz w:val="15"/>
              </w:rPr>
              <w:t>A discharge approval normally covers a defined water source, route and set of controls only.</w:t>
            </w:r>
          </w:p>
        </w:tc>
        <w:tc>
          <w:tcPr>
            <w:tcW w:type="dxa" w:w="2381"/>
            <w:shd w:val="clear" w:color="auto" w:fill="F2F6FA"/>
          </w:tcPr>
          <w:p>
            <w:r/>
            <w:r>
              <w:rPr>
                <w:sz w:val="15"/>
              </w:rPr>
              <w:t>Dubai Local Order No. 8/2002 [EN1]; DDA dewatering NOC [DB3]</w:t>
            </w:r>
          </w:p>
        </w:tc>
        <w:tc>
          <w:tcPr>
            <w:tcW w:type="dxa" w:w="1191"/>
            <w:shd w:val="clear" w:color="auto" w:fill="F2F6FA"/>
          </w:tcPr>
          <w:p>
            <w:r/>
            <w:r>
              <w:rPr>
                <w:sz w:val="15"/>
              </w:rPr>
              <w:t>All UAE</w:t>
            </w:r>
          </w:p>
        </w:tc>
        <w:tc>
          <w:tcPr>
            <w:tcW w:type="dxa" w:w="907"/>
            <w:shd w:val="clear" w:color="auto" w:fill="F2F6FA"/>
          </w:tcPr>
          <w:p>
            <w:r/>
            <w:r>
              <w:rPr>
                <w:sz w:val="15"/>
              </w:rPr>
              <w:t>Critical</w:t>
            </w:r>
          </w:p>
        </w:tc>
        <w:tc>
          <w:tcPr>
            <w:tcW w:type="dxa" w:w="1134"/>
            <w:shd w:val="clear" w:color="auto" w:fill="F2F6FA"/>
          </w:tcPr>
          <w:p>
            <w:r/>
            <w:r>
              <w:rPr>
                <w:sz w:val="15"/>
              </w:rPr>
            </w:r>
          </w:p>
        </w:tc>
        <w:tc>
          <w:tcPr>
            <w:tcW w:type="dxa" w:w="1814"/>
            <w:shd w:val="clear" w:color="auto" w:fill="F2F6FA"/>
          </w:tcPr>
          <w:p>
            <w:r/>
            <w:r>
              <w:rPr>
                <w:sz w:val="15"/>
              </w:rPr>
            </w:r>
          </w:p>
        </w:tc>
      </w:tr>
      <w:tr>
        <w:trPr>
          <w:cantSplit/>
        </w:trPr>
        <w:tc>
          <w:tcPr>
            <w:tcW w:type="dxa" w:w="510"/>
          </w:tcPr>
          <w:p>
            <w:r/>
            <w:r>
              <w:rPr>
                <w:sz w:val="15"/>
              </w:rPr>
              <w:t>82</w:t>
            </w:r>
          </w:p>
        </w:tc>
        <w:tc>
          <w:tcPr>
            <w:tcW w:type="dxa" w:w="3742"/>
          </w:tcPr>
          <w:p>
            <w:r/>
            <w:r>
              <w:rPr>
                <w:sz w:val="15"/>
              </w:rPr>
              <w:t>Classify water by source and risk, and sample uncharacterised water and soil using parameters informed by site history.</w:t>
            </w:r>
          </w:p>
        </w:tc>
        <w:tc>
          <w:tcPr>
            <w:tcW w:type="dxa" w:w="3061"/>
          </w:tcPr>
          <w:p>
            <w:r/>
            <w:r>
              <w:rPr>
                <w:sz w:val="15"/>
              </w:rPr>
              <w:t>Source-based classification captures hydrocarbons, metals, microbes, pH and salinity that visual inspection misses.</w:t>
            </w:r>
          </w:p>
        </w:tc>
        <w:tc>
          <w:tcPr>
            <w:tcW w:type="dxa" w:w="2381"/>
          </w:tcPr>
          <w:p>
            <w:r/>
            <w:r>
              <w:rPr>
                <w:sz w:val="15"/>
              </w:rPr>
              <w:t>Abu Dhabi DoE Water Quality Regulations 2025 [EN3]; Dubai Environmental Clearance guidance [DB2]</w:t>
            </w:r>
          </w:p>
        </w:tc>
        <w:tc>
          <w:tcPr>
            <w:tcW w:type="dxa" w:w="1191"/>
          </w:tcPr>
          <w:p>
            <w:r/>
            <w:r>
              <w:rPr>
                <w:sz w:val="15"/>
              </w:rPr>
              <w:t>All UAE</w:t>
            </w:r>
          </w:p>
        </w:tc>
        <w:tc>
          <w:tcPr>
            <w:tcW w:type="dxa" w:w="907"/>
          </w:tcPr>
          <w:p>
            <w:r/>
            <w:r>
              <w:rPr>
                <w:sz w:val="15"/>
              </w:rPr>
              <w:t>High</w:t>
            </w:r>
          </w:p>
        </w:tc>
        <w:tc>
          <w:tcPr>
            <w:tcW w:type="dxa" w:w="1134"/>
          </w:tcPr>
          <w:p>
            <w:r/>
            <w:r>
              <w:rPr>
                <w:sz w:val="15"/>
              </w:rPr>
            </w:r>
          </w:p>
        </w:tc>
        <w:tc>
          <w:tcPr>
            <w:tcW w:type="dxa" w:w="1814"/>
          </w:tcPr>
          <w:p>
            <w:r/>
            <w:r>
              <w:rPr>
                <w:sz w:val="15"/>
              </w:rPr>
            </w:r>
          </w:p>
        </w:tc>
      </w:tr>
      <w:tr>
        <w:trPr>
          <w:cantSplit/>
        </w:trPr>
        <w:tc>
          <w:tcPr>
            <w:tcW w:type="dxa" w:w="510"/>
            <w:shd w:val="clear" w:color="auto" w:fill="F2F6FA"/>
          </w:tcPr>
          <w:p>
            <w:r/>
            <w:r>
              <w:rPr>
                <w:sz w:val="15"/>
              </w:rPr>
              <w:t>83</w:t>
            </w:r>
          </w:p>
        </w:tc>
        <w:tc>
          <w:tcPr>
            <w:tcW w:type="dxa" w:w="3742"/>
            <w:shd w:val="clear" w:color="auto" w:fill="F2F6FA"/>
          </w:tcPr>
          <w:p>
            <w:r/>
            <w:r>
              <w:rPr>
                <w:sz w:val="15"/>
              </w:rPr>
              <w:t>Stop, cordon and notify the environmental manager if stained soil, unusual odour, buried waste, asbestos-like material or unusual groundwater is found; prevent tracking and approve classification and remediation before restart.</w:t>
            </w:r>
          </w:p>
        </w:tc>
        <w:tc>
          <w:tcPr>
            <w:tcW w:type="dxa" w:w="3061"/>
            <w:shd w:val="clear" w:color="auto" w:fill="F2F6FA"/>
          </w:tcPr>
          <w:p>
            <w:r/>
            <w:r>
              <w:rPr>
                <w:sz w:val="15"/>
              </w:rPr>
              <w:t>Excavation can mobilise unknown contamination, especially during rain.</w:t>
            </w:r>
          </w:p>
        </w:tc>
        <w:tc>
          <w:tcPr>
            <w:tcW w:type="dxa" w:w="2381"/>
            <w:shd w:val="clear" w:color="auto" w:fill="F2F6FA"/>
          </w:tcPr>
          <w:p>
            <w:r/>
            <w:r>
              <w:rPr>
                <w:sz w:val="15"/>
              </w:rPr>
              <w:t>Dubai Environmental Clearance guidance [DB2]; Federal Law No. 24/1999 [F9]</w:t>
            </w:r>
          </w:p>
        </w:tc>
        <w:tc>
          <w:tcPr>
            <w:tcW w:type="dxa" w:w="1191"/>
            <w:shd w:val="clear" w:color="auto" w:fill="F2F6FA"/>
          </w:tcPr>
          <w:p>
            <w:r/>
            <w:r>
              <w:rPr>
                <w:sz w:val="15"/>
              </w:rPr>
              <w:t>All UAE</w:t>
            </w:r>
          </w:p>
        </w:tc>
        <w:tc>
          <w:tcPr>
            <w:tcW w:type="dxa" w:w="907"/>
            <w:shd w:val="clear" w:color="auto" w:fill="F2F6FA"/>
          </w:tcPr>
          <w:p>
            <w:r/>
            <w:r>
              <w:rPr>
                <w:sz w:val="15"/>
              </w:rPr>
              <w:t>Critical</w:t>
            </w:r>
          </w:p>
        </w:tc>
        <w:tc>
          <w:tcPr>
            <w:tcW w:type="dxa" w:w="1134"/>
            <w:shd w:val="clear" w:color="auto" w:fill="F2F6FA"/>
          </w:tcPr>
          <w:p>
            <w:r/>
            <w:r>
              <w:rPr>
                <w:sz w:val="15"/>
              </w:rPr>
            </w:r>
          </w:p>
        </w:tc>
        <w:tc>
          <w:tcPr>
            <w:tcW w:type="dxa" w:w="1814"/>
            <w:shd w:val="clear" w:color="auto" w:fill="F2F6FA"/>
          </w:tcPr>
          <w:p>
            <w:r/>
            <w:r>
              <w:rPr>
                <w:sz w:val="15"/>
              </w:rPr>
            </w:r>
          </w:p>
        </w:tc>
      </w:tr>
      <w:tr>
        <w:trPr>
          <w:cantSplit/>
        </w:trPr>
        <w:tc>
          <w:tcPr>
            <w:tcW w:type="dxa" w:w="510"/>
          </w:tcPr>
          <w:p>
            <w:r/>
            <w:r>
              <w:rPr>
                <w:sz w:val="15"/>
              </w:rPr>
              <w:t>84</w:t>
            </w:r>
          </w:p>
        </w:tc>
        <w:tc>
          <w:tcPr>
            <w:tcW w:type="dxa" w:w="3742"/>
          </w:tcPr>
          <w:p>
            <w:r/>
            <w:r>
              <w:rPr>
                <w:sz w:val="15"/>
              </w:rPr>
              <w:t>Inspect bunds, silt controls, stockpiles, washout, skips and drains before a forecast event and after each storm.</w:t>
            </w:r>
          </w:p>
        </w:tc>
        <w:tc>
          <w:tcPr>
            <w:tcW w:type="dxa" w:w="3061"/>
          </w:tcPr>
          <w:p>
            <w:r/>
            <w:r>
              <w:rPr>
                <w:sz w:val="15"/>
              </w:rPr>
              <w:t>Capacity and containment are reduced by damage, sediment and overtopping.</w:t>
            </w:r>
          </w:p>
        </w:tc>
        <w:tc>
          <w:tcPr>
            <w:tcW w:type="dxa" w:w="2381"/>
          </w:tcPr>
          <w:p>
            <w:r/>
            <w:r>
              <w:rPr>
                <w:sz w:val="15"/>
              </w:rPr>
              <w:t>Dubai Green Building Regulations [EN2]; CIRIA [T9]</w:t>
            </w:r>
          </w:p>
        </w:tc>
        <w:tc>
          <w:tcPr>
            <w:tcW w:type="dxa" w:w="1191"/>
          </w:tcPr>
          <w:p>
            <w:r/>
            <w:r>
              <w:rPr>
                <w:sz w:val="15"/>
              </w:rPr>
              <w:t>All UAE</w:t>
            </w:r>
          </w:p>
        </w:tc>
        <w:tc>
          <w:tcPr>
            <w:tcW w:type="dxa" w:w="907"/>
          </w:tcPr>
          <w:p>
            <w:r/>
            <w:r>
              <w:rPr>
                <w:sz w:val="15"/>
              </w:rPr>
              <w:t>High</w:t>
            </w:r>
          </w:p>
        </w:tc>
        <w:tc>
          <w:tcPr>
            <w:tcW w:type="dxa" w:w="1134"/>
          </w:tcPr>
          <w:p>
            <w:r/>
            <w:r>
              <w:rPr>
                <w:sz w:val="15"/>
              </w:rPr>
            </w:r>
          </w:p>
        </w:tc>
        <w:tc>
          <w:tcPr>
            <w:tcW w:type="dxa" w:w="1814"/>
          </w:tcPr>
          <w:p>
            <w:r/>
            <w:r>
              <w:rPr>
                <w:sz w:val="15"/>
              </w:rPr>
            </w:r>
          </w:p>
        </w:tc>
      </w:tr>
      <w:tr>
        <w:trPr>
          <w:cantSplit/>
        </w:trPr>
        <w:tc>
          <w:tcPr>
            <w:tcW w:type="dxa" w:w="510"/>
            <w:shd w:val="clear" w:color="auto" w:fill="F2F6FA"/>
          </w:tcPr>
          <w:p>
            <w:r/>
            <w:r>
              <w:rPr>
                <w:sz w:val="15"/>
              </w:rPr>
              <w:t>85</w:t>
            </w:r>
          </w:p>
        </w:tc>
        <w:tc>
          <w:tcPr>
            <w:tcW w:type="dxa" w:w="3742"/>
            <w:shd w:val="clear" w:color="auto" w:fill="F2F6FA"/>
          </w:tcPr>
          <w:p>
            <w:r/>
            <w:r>
              <w:rPr>
                <w:sz w:val="15"/>
              </w:rPr>
              <w:t>Use licensed waste transport and disposal, and retain manifests, receiving tickets and laboratory records.</w:t>
            </w:r>
          </w:p>
        </w:tc>
        <w:tc>
          <w:tcPr>
            <w:tcW w:type="dxa" w:w="3061"/>
            <w:shd w:val="clear" w:color="auto" w:fill="F2F6FA"/>
          </w:tcPr>
          <w:p>
            <w:r/>
            <w:r>
              <w:rPr>
                <w:sz w:val="15"/>
              </w:rPr>
              <w:t>Federal waste law requires controlled disposal and records establish the final route.</w:t>
            </w:r>
          </w:p>
        </w:tc>
        <w:tc>
          <w:tcPr>
            <w:tcW w:type="dxa" w:w="2381"/>
            <w:shd w:val="clear" w:color="auto" w:fill="F2F6FA"/>
          </w:tcPr>
          <w:p>
            <w:r/>
            <w:r>
              <w:rPr>
                <w:sz w:val="15"/>
              </w:rPr>
              <w:t>Federal Law No. 12/2018 [F11]</w:t>
            </w:r>
          </w:p>
        </w:tc>
        <w:tc>
          <w:tcPr>
            <w:tcW w:type="dxa" w:w="1191"/>
            <w:shd w:val="clear" w:color="auto" w:fill="F2F6FA"/>
          </w:tcPr>
          <w:p>
            <w:r/>
            <w:r>
              <w:rPr>
                <w:sz w:val="15"/>
              </w:rPr>
              <w:t>All UAE</w:t>
            </w:r>
          </w:p>
        </w:tc>
        <w:tc>
          <w:tcPr>
            <w:tcW w:type="dxa" w:w="907"/>
            <w:shd w:val="clear" w:color="auto" w:fill="F2F6FA"/>
          </w:tcPr>
          <w:p>
            <w:r/>
            <w:r>
              <w:rPr>
                <w:sz w:val="15"/>
              </w:rPr>
              <w:t>High</w:t>
            </w:r>
          </w:p>
        </w:tc>
        <w:tc>
          <w:tcPr>
            <w:tcW w:type="dxa" w:w="1134"/>
            <w:shd w:val="clear" w:color="auto" w:fill="F2F6FA"/>
          </w:tcPr>
          <w:p>
            <w:r/>
            <w:r>
              <w:rPr>
                <w:sz w:val="15"/>
              </w:rPr>
            </w:r>
          </w:p>
        </w:tc>
        <w:tc>
          <w:tcPr>
            <w:tcW w:type="dxa" w:w="1814"/>
            <w:shd w:val="clear" w:color="auto" w:fill="F2F6FA"/>
          </w:tcPr>
          <w:p>
            <w:r/>
            <w:r>
              <w:rPr>
                <w:sz w:val="15"/>
              </w:rPr>
            </w:r>
          </w:p>
        </w:tc>
      </w:tr>
      <w:tr>
        <w:trPr>
          <w:cantSplit/>
        </w:trPr>
        <w:tc>
          <w:tcPr>
            <w:tcW w:type="dxa" w:w="510"/>
          </w:tcPr>
          <w:p>
            <w:r/>
            <w:r>
              <w:rPr>
                <w:sz w:val="15"/>
              </w:rPr>
              <w:t>86</w:t>
            </w:r>
          </w:p>
        </w:tc>
        <w:tc>
          <w:tcPr>
            <w:tcW w:type="dxa" w:w="3742"/>
          </w:tcPr>
          <w:p>
            <w:r/>
            <w:r>
              <w:rPr>
                <w:sz w:val="15"/>
              </w:rPr>
              <w:t>Never push silt, waste or flood debris into public drainage, wadis or coastal areas during clean-up.</w:t>
            </w:r>
          </w:p>
        </w:tc>
        <w:tc>
          <w:tcPr>
            <w:tcW w:type="dxa" w:w="3061"/>
          </w:tcPr>
          <w:p>
            <w:r/>
            <w:r>
              <w:rPr>
                <w:sz w:val="15"/>
              </w:rPr>
              <w:t>Clean-up itself can become a secondary polluting discharge.</w:t>
            </w:r>
          </w:p>
        </w:tc>
        <w:tc>
          <w:tcPr>
            <w:tcW w:type="dxa" w:w="2381"/>
          </w:tcPr>
          <w:p>
            <w:r/>
            <w:r>
              <w:rPr>
                <w:sz w:val="15"/>
              </w:rPr>
              <w:t>RAK Public Services Department [RK4]; Federal Law No. 24/1999 [F9]</w:t>
            </w:r>
          </w:p>
        </w:tc>
        <w:tc>
          <w:tcPr>
            <w:tcW w:type="dxa" w:w="1191"/>
          </w:tcPr>
          <w:p>
            <w:r/>
            <w:r>
              <w:rPr>
                <w:sz w:val="15"/>
              </w:rPr>
              <w:t>All UAE</w:t>
            </w:r>
          </w:p>
        </w:tc>
        <w:tc>
          <w:tcPr>
            <w:tcW w:type="dxa" w:w="907"/>
          </w:tcPr>
          <w:p>
            <w:r/>
            <w:r>
              <w:rPr>
                <w:sz w:val="15"/>
              </w:rPr>
              <w:t>High</w:t>
            </w:r>
          </w:p>
        </w:tc>
        <w:tc>
          <w:tcPr>
            <w:tcW w:type="dxa" w:w="1134"/>
          </w:tcPr>
          <w:p>
            <w:r/>
            <w:r>
              <w:rPr>
                <w:sz w:val="15"/>
              </w:rPr>
            </w:r>
          </w:p>
        </w:tc>
        <w:tc>
          <w:tcPr>
            <w:tcW w:type="dxa" w:w="1814"/>
          </w:tcPr>
          <w:p>
            <w:r/>
            <w:r>
              <w:rPr>
                <w:sz w:val="15"/>
              </w:rPr>
            </w:r>
          </w:p>
        </w:tc>
      </w:tr>
      <w:tr>
        <w:trPr>
          <w:cantSplit/>
        </w:trPr>
        <w:tc>
          <w:tcPr>
            <w:tcW w:type="dxa" w:w="510"/>
            <w:shd w:val="clear" w:color="auto" w:fill="F2F6FA"/>
          </w:tcPr>
          <w:p>
            <w:r/>
            <w:r>
              <w:rPr>
                <w:sz w:val="15"/>
              </w:rPr>
              <w:t>87</w:t>
            </w:r>
          </w:p>
        </w:tc>
        <w:tc>
          <w:tcPr>
            <w:tcW w:type="dxa" w:w="3742"/>
            <w:shd w:val="clear" w:color="auto" w:fill="F2F6FA"/>
          </w:tcPr>
          <w:p>
            <w:r/>
            <w:r>
              <w:rPr>
                <w:sz w:val="15"/>
              </w:rPr>
              <w:t>Record rainfall, pump run time and volume, discharge location, turbidity and test results, spills, tank levels and photographs.</w:t>
            </w:r>
          </w:p>
        </w:tc>
        <w:tc>
          <w:tcPr>
            <w:tcW w:type="dxa" w:w="3061"/>
            <w:shd w:val="clear" w:color="auto" w:fill="F2F6FA"/>
          </w:tcPr>
          <w:p>
            <w:r/>
            <w:r>
              <w:rPr>
                <w:sz w:val="15"/>
              </w:rPr>
              <w:t>Creates an auditable pollution-control record and supports authority reporting and claims.</w:t>
            </w:r>
          </w:p>
        </w:tc>
        <w:tc>
          <w:tcPr>
            <w:tcW w:type="dxa" w:w="2381"/>
            <w:shd w:val="clear" w:color="auto" w:fill="F2F6FA"/>
          </w:tcPr>
          <w:p>
            <w:r/>
            <w:r>
              <w:rPr>
                <w:sz w:val="15"/>
              </w:rPr>
              <w:t>Abu Dhabi DoE Water Quality Regulations 2025 [EN3]; Dubai Environmental Clearance guidance [DB2]</w:t>
            </w:r>
          </w:p>
        </w:tc>
        <w:tc>
          <w:tcPr>
            <w:tcW w:type="dxa" w:w="1191"/>
            <w:shd w:val="clear" w:color="auto" w:fill="F2F6FA"/>
          </w:tcPr>
          <w:p>
            <w:r/>
            <w:r>
              <w:rPr>
                <w:sz w:val="15"/>
              </w:rPr>
              <w:t>All UAE</w:t>
            </w:r>
          </w:p>
        </w:tc>
        <w:tc>
          <w:tcPr>
            <w:tcW w:type="dxa" w:w="907"/>
            <w:shd w:val="clear" w:color="auto" w:fill="F2F6FA"/>
          </w:tcPr>
          <w:p>
            <w:r/>
            <w:r>
              <w:rPr>
                <w:sz w:val="15"/>
              </w:rPr>
              <w:t>Medium</w:t>
            </w:r>
          </w:p>
        </w:tc>
        <w:tc>
          <w:tcPr>
            <w:tcW w:type="dxa" w:w="1134"/>
            <w:shd w:val="clear" w:color="auto" w:fill="F2F6FA"/>
          </w:tcPr>
          <w:p>
            <w:r/>
            <w:r>
              <w:rPr>
                <w:sz w:val="15"/>
              </w:rPr>
            </w:r>
          </w:p>
        </w:tc>
        <w:tc>
          <w:tcPr>
            <w:tcW w:type="dxa" w:w="1814"/>
            <w:shd w:val="clear" w:color="auto" w:fill="F2F6FA"/>
          </w:tcPr>
          <w:p>
            <w:r/>
            <w:r>
              <w:rPr>
                <w:sz w:val="15"/>
              </w:rPr>
            </w:r>
          </w:p>
        </w:tc>
      </w:tr>
      <w:tr>
        <w:trPr>
          <w:cantSplit/>
        </w:trPr>
        <w:tc>
          <w:tcPr>
            <w:tcW w:type="dxa" w:w="510"/>
          </w:tcPr>
          <w:p>
            <w:r/>
            <w:r>
              <w:rPr>
                <w:sz w:val="15"/>
              </w:rPr>
              <w:t>88</w:t>
            </w:r>
          </w:p>
        </w:tc>
        <w:tc>
          <w:tcPr>
            <w:tcW w:type="dxa" w:w="3742"/>
          </w:tcPr>
          <w:p>
            <w:r/>
            <w:r>
              <w:rPr>
                <w:sz w:val="15"/>
              </w:rPr>
              <w:t>Report water-quality incidents and regulatory non-compliance through the applicable permit and regulator route.</w:t>
            </w:r>
          </w:p>
        </w:tc>
        <w:tc>
          <w:tcPr>
            <w:tcW w:type="dxa" w:w="3061"/>
          </w:tcPr>
          <w:p>
            <w:r/>
            <w:r>
              <w:rPr>
                <w:sz w:val="15"/>
              </w:rPr>
              <w:t>Abu Dhabi DoE expressly requires incident and non-compliance reporting within its regulated scope.</w:t>
            </w:r>
          </w:p>
        </w:tc>
        <w:tc>
          <w:tcPr>
            <w:tcW w:type="dxa" w:w="2381"/>
          </w:tcPr>
          <w:p>
            <w:r/>
            <w:r>
              <w:rPr>
                <w:sz w:val="15"/>
              </w:rPr>
              <w:t>Abu Dhabi DoE Water Quality Regulations 2025 [EN3]</w:t>
            </w:r>
          </w:p>
        </w:tc>
        <w:tc>
          <w:tcPr>
            <w:tcW w:type="dxa" w:w="1191"/>
          </w:tcPr>
          <w:p>
            <w:r/>
            <w:r>
              <w:rPr>
                <w:sz w:val="15"/>
              </w:rPr>
              <w:t>All UAE</w:t>
            </w:r>
          </w:p>
        </w:tc>
        <w:tc>
          <w:tcPr>
            <w:tcW w:type="dxa" w:w="907"/>
          </w:tcPr>
          <w:p>
            <w:r/>
            <w:r>
              <w:rPr>
                <w:sz w:val="15"/>
              </w:rPr>
              <w:t>High</w:t>
            </w:r>
          </w:p>
        </w:tc>
        <w:tc>
          <w:tcPr>
            <w:tcW w:type="dxa" w:w="1134"/>
          </w:tcPr>
          <w:p>
            <w:r/>
            <w:r>
              <w:rPr>
                <w:sz w:val="15"/>
              </w:rPr>
            </w:r>
          </w:p>
        </w:tc>
        <w:tc>
          <w:tcPr>
            <w:tcW w:type="dxa" w:w="1814"/>
          </w:tcPr>
          <w:p>
            <w:r/>
            <w:r>
              <w:rPr>
                <w:sz w:val="15"/>
              </w:rPr>
            </w:r>
          </w:p>
        </w:tc>
      </w:tr>
      <w:tr>
        <w:trPr>
          <w:cantSplit/>
        </w:trPr>
        <w:tc>
          <w:tcPr>
            <w:tcW w:type="dxa" w:w="510"/>
            <w:shd w:val="clear" w:color="auto" w:fill="F2F6FA"/>
          </w:tcPr>
          <w:p>
            <w:r/>
            <w:r>
              <w:rPr>
                <w:sz w:val="15"/>
              </w:rPr>
              <w:t>89</w:t>
            </w:r>
          </w:p>
        </w:tc>
        <w:tc>
          <w:tcPr>
            <w:tcW w:type="dxa" w:w="3742"/>
            <w:shd w:val="clear" w:color="auto" w:fill="F2F6FA"/>
          </w:tcPr>
          <w:p>
            <w:r/>
            <w:r>
              <w:rPr>
                <w:sz w:val="15"/>
              </w:rPr>
              <w:t>Immediately stop and report any plume, sheen, fish kill, mangrove damage or unauthorised discharge to the relevant authority.</w:t>
            </w:r>
          </w:p>
        </w:tc>
        <w:tc>
          <w:tcPr>
            <w:tcW w:type="dxa" w:w="3061"/>
            <w:shd w:val="clear" w:color="auto" w:fill="F2F6FA"/>
          </w:tcPr>
          <w:p>
            <w:r/>
            <w:r>
              <w:rPr>
                <w:sz w:val="15"/>
              </w:rPr>
              <w:t>These are signs of potentially significant receptor impact requiring prompt containment and notification.</w:t>
            </w:r>
          </w:p>
        </w:tc>
        <w:tc>
          <w:tcPr>
            <w:tcW w:type="dxa" w:w="2381"/>
            <w:shd w:val="clear" w:color="auto" w:fill="F2F6FA"/>
          </w:tcPr>
          <w:p>
            <w:r/>
            <w:r>
              <w:rPr>
                <w:sz w:val="15"/>
              </w:rPr>
              <w:t>EAD mangrove guidelines [AD7]; Federal Law No. 24/1999 [F9]</w:t>
            </w:r>
          </w:p>
        </w:tc>
        <w:tc>
          <w:tcPr>
            <w:tcW w:type="dxa" w:w="1191"/>
            <w:shd w:val="clear" w:color="auto" w:fill="F2F6FA"/>
          </w:tcPr>
          <w:p>
            <w:r/>
            <w:r>
              <w:rPr>
                <w:sz w:val="15"/>
              </w:rPr>
              <w:t>All UAE</w:t>
            </w:r>
          </w:p>
        </w:tc>
        <w:tc>
          <w:tcPr>
            <w:tcW w:type="dxa" w:w="907"/>
            <w:shd w:val="clear" w:color="auto" w:fill="F2F6FA"/>
          </w:tcPr>
          <w:p>
            <w:r/>
            <w:r>
              <w:rPr>
                <w:sz w:val="15"/>
              </w:rPr>
              <w:t>Critical</w:t>
            </w:r>
          </w:p>
        </w:tc>
        <w:tc>
          <w:tcPr>
            <w:tcW w:type="dxa" w:w="1134"/>
            <w:shd w:val="clear" w:color="auto" w:fill="F2F6FA"/>
          </w:tcPr>
          <w:p>
            <w:r/>
            <w:r>
              <w:rPr>
                <w:sz w:val="15"/>
              </w:rPr>
            </w:r>
          </w:p>
        </w:tc>
        <w:tc>
          <w:tcPr>
            <w:tcW w:type="dxa" w:w="1814"/>
            <w:shd w:val="clear" w:color="auto" w:fill="F2F6FA"/>
          </w:tcPr>
          <w:p>
            <w:r/>
            <w:r>
              <w:rPr>
                <w:sz w:val="15"/>
              </w:rPr>
            </w:r>
          </w:p>
        </w:tc>
      </w:tr>
    </w:tbl>
    <w:p/>
    <w:p>
      <w:pPr>
        <w:pStyle w:val="Heading2"/>
      </w:pPr>
      <w:r>
        <w:t>I. Emergency Response &amp; Communication</w:t>
      </w:r>
    </w:p>
    <w:tbl>
      <w:tblPr>
        <w:tblStyle w:val="TableGrid"/>
        <w:tblW w:type="auto" w:w="0"/>
        <w:jc w:val="center"/>
        <w:tblLook w:firstColumn="1" w:firstRow="1" w:lastColumn="0" w:lastRow="0" w:noHBand="0" w:noVBand="1" w:val="04A0"/>
        <w:tblLayout w:type="fixed"/>
      </w:tblPr>
      <w:tblGrid>
        <w:gridCol w:w="510"/>
        <w:gridCol w:w="3742"/>
        <w:gridCol w:w="3062"/>
        <w:gridCol w:w="2381"/>
        <w:gridCol w:w="1191"/>
        <w:gridCol w:w="907"/>
        <w:gridCol w:w="1134"/>
        <w:gridCol w:w="1814"/>
      </w:tblGrid>
      <w:tr>
        <w:trPr>
          <w:cantSplit/>
        </w:trPr>
        <w:tc>
          <w:tcPr>
            <w:tcW w:type="dxa" w:w="510"/>
            <w:shd w:val="clear" w:color="auto" w:fill="126E6E"/>
          </w:tcPr>
          <w:p>
            <w:r/>
            <w:r>
              <w:rPr>
                <w:b/>
                <w:color w:val="FFFFFF"/>
                <w:sz w:val="15"/>
              </w:rPr>
              <w:t>#</w:t>
            </w:r>
          </w:p>
        </w:tc>
        <w:tc>
          <w:tcPr>
            <w:tcW w:type="dxa" w:w="3742"/>
            <w:shd w:val="clear" w:color="auto" w:fill="126E6E"/>
          </w:tcPr>
          <w:p>
            <w:r/>
            <w:r>
              <w:rPr>
                <w:b/>
                <w:color w:val="FFFFFF"/>
                <w:sz w:val="15"/>
              </w:rPr>
              <w:t>Check item</w:t>
            </w:r>
          </w:p>
        </w:tc>
        <w:tc>
          <w:tcPr>
            <w:tcW w:type="dxa" w:w="3061"/>
            <w:shd w:val="clear" w:color="auto" w:fill="126E6E"/>
          </w:tcPr>
          <w:p>
            <w:r/>
            <w:r>
              <w:rPr>
                <w:b/>
                <w:color w:val="FFFFFF"/>
                <w:sz w:val="15"/>
              </w:rPr>
              <w:t>Why it matters (risk)</w:t>
            </w:r>
          </w:p>
        </w:tc>
        <w:tc>
          <w:tcPr>
            <w:tcW w:type="dxa" w:w="2381"/>
            <w:shd w:val="clear" w:color="auto" w:fill="126E6E"/>
          </w:tcPr>
          <w:p>
            <w:r/>
            <w:r>
              <w:rPr>
                <w:b/>
                <w:color w:val="FFFFFF"/>
                <w:sz w:val="15"/>
              </w:rPr>
              <w:t>Authority / source reference</w:t>
            </w:r>
          </w:p>
        </w:tc>
        <w:tc>
          <w:tcPr>
            <w:tcW w:type="dxa" w:w="1191"/>
            <w:shd w:val="clear" w:color="auto" w:fill="126E6E"/>
          </w:tcPr>
          <w:p>
            <w:r/>
            <w:r>
              <w:rPr>
                <w:b/>
                <w:color w:val="FFFFFF"/>
                <w:sz w:val="15"/>
              </w:rPr>
              <w:t>Applies to</w:t>
            </w:r>
          </w:p>
        </w:tc>
        <w:tc>
          <w:tcPr>
            <w:tcW w:type="dxa" w:w="907"/>
            <w:shd w:val="clear" w:color="auto" w:fill="126E6E"/>
          </w:tcPr>
          <w:p>
            <w:r/>
            <w:r>
              <w:rPr>
                <w:b/>
                <w:color w:val="FFFFFF"/>
                <w:sz w:val="15"/>
              </w:rPr>
              <w:t>Priority</w:t>
            </w:r>
          </w:p>
        </w:tc>
        <w:tc>
          <w:tcPr>
            <w:tcW w:type="dxa" w:w="1134"/>
            <w:shd w:val="clear" w:color="auto" w:fill="126E6E"/>
          </w:tcPr>
          <w:p>
            <w:r/>
            <w:r>
              <w:rPr>
                <w:b/>
                <w:color w:val="FFFFFF"/>
                <w:sz w:val="15"/>
              </w:rPr>
              <w:t>Status / initials</w:t>
            </w:r>
          </w:p>
        </w:tc>
        <w:tc>
          <w:tcPr>
            <w:tcW w:type="dxa" w:w="1814"/>
            <w:shd w:val="clear" w:color="auto" w:fill="126E6E"/>
          </w:tcPr>
          <w:p>
            <w:r/>
            <w:r>
              <w:rPr>
                <w:b/>
                <w:color w:val="FFFFFF"/>
                <w:sz w:val="15"/>
              </w:rPr>
              <w:t>Evidence reference</w:t>
            </w:r>
          </w:p>
        </w:tc>
      </w:tr>
      <w:tr>
        <w:trPr>
          <w:cantSplit/>
        </w:trPr>
        <w:tc>
          <w:tcPr>
            <w:tcW w:type="dxa" w:w="510"/>
          </w:tcPr>
          <w:p>
            <w:r/>
            <w:r>
              <w:rPr>
                <w:sz w:val="15"/>
              </w:rPr>
              <w:t>90</w:t>
            </w:r>
          </w:p>
        </w:tc>
        <w:tc>
          <w:tcPr>
            <w:tcW w:type="dxa" w:w="3742"/>
          </w:tcPr>
          <w:p>
            <w:r/>
            <w:r>
              <w:rPr>
                <w:sz w:val="15"/>
              </w:rPr>
              <w:t>Post emergency numbers, site coordinates (Makani or GPS), gate directions, site hazards and a caller script at the gate, control room and welfare areas.</w:t>
            </w:r>
          </w:p>
        </w:tc>
        <w:tc>
          <w:tcPr>
            <w:tcW w:type="dxa" w:w="3061"/>
          </w:tcPr>
          <w:p>
            <w:r/>
            <w:r>
              <w:rPr>
                <w:sz w:val="15"/>
              </w:rPr>
              <w:t>Responders need location and hazard information quickly when access is flooded or communications are stressed.</w:t>
            </w:r>
          </w:p>
        </w:tc>
        <w:tc>
          <w:tcPr>
            <w:tcW w:type="dxa" w:w="2381"/>
          </w:tcPr>
          <w:p>
            <w:r/>
            <w:r>
              <w:rPr>
                <w:sz w:val="15"/>
              </w:rPr>
              <w:t>UAE emergency guidance [F12]; Ajman Municipality [AJ2]</w:t>
            </w:r>
          </w:p>
        </w:tc>
        <w:tc>
          <w:tcPr>
            <w:tcW w:type="dxa" w:w="1191"/>
          </w:tcPr>
          <w:p>
            <w:r/>
            <w:r>
              <w:rPr>
                <w:sz w:val="15"/>
              </w:rPr>
              <w:t>All UAE</w:t>
            </w:r>
          </w:p>
        </w:tc>
        <w:tc>
          <w:tcPr>
            <w:tcW w:type="dxa" w:w="907"/>
          </w:tcPr>
          <w:p>
            <w:r/>
            <w:r>
              <w:rPr>
                <w:sz w:val="15"/>
              </w:rPr>
              <w:t>Critical</w:t>
            </w:r>
          </w:p>
        </w:tc>
        <w:tc>
          <w:tcPr>
            <w:tcW w:type="dxa" w:w="1134"/>
          </w:tcPr>
          <w:p>
            <w:r/>
            <w:r>
              <w:rPr>
                <w:sz w:val="15"/>
              </w:rPr>
            </w:r>
          </w:p>
        </w:tc>
        <w:tc>
          <w:tcPr>
            <w:tcW w:type="dxa" w:w="1814"/>
          </w:tcPr>
          <w:p>
            <w:r/>
            <w:r>
              <w:rPr>
                <w:sz w:val="15"/>
              </w:rPr>
            </w:r>
          </w:p>
        </w:tc>
      </w:tr>
      <w:tr>
        <w:trPr>
          <w:cantSplit/>
        </w:trPr>
        <w:tc>
          <w:tcPr>
            <w:tcW w:type="dxa" w:w="510"/>
            <w:shd w:val="clear" w:color="auto" w:fill="F2F6FA"/>
          </w:tcPr>
          <w:p>
            <w:r/>
            <w:r>
              <w:rPr>
                <w:sz w:val="15"/>
              </w:rPr>
              <w:t>91</w:t>
            </w:r>
          </w:p>
        </w:tc>
        <w:tc>
          <w:tcPr>
            <w:tcW w:type="dxa" w:w="3742"/>
            <w:shd w:val="clear" w:color="auto" w:fill="F2F6FA"/>
          </w:tcPr>
          <w:p>
            <w:r/>
            <w:r>
              <w:rPr>
                <w:sz w:val="15"/>
              </w:rPr>
              <w:t>Use 999 Police, 997 Civil Defence and 998 ambulance nationally unless the local or free-zone authority directs otherwise, and do not delay a life-safety call while resolving jurisdiction.</w:t>
            </w:r>
          </w:p>
        </w:tc>
        <w:tc>
          <w:tcPr>
            <w:tcW w:type="dxa" w:w="3061"/>
            <w:shd w:val="clear" w:color="auto" w:fill="F2F6FA"/>
          </w:tcPr>
          <w:p>
            <w:r/>
            <w:r>
              <w:rPr>
                <w:sz w:val="15"/>
              </w:rPr>
              <w:t>Emergency routing varies between publications; life safety takes priority over administrative clarity.</w:t>
            </w:r>
          </w:p>
        </w:tc>
        <w:tc>
          <w:tcPr>
            <w:tcW w:type="dxa" w:w="2381"/>
            <w:shd w:val="clear" w:color="auto" w:fill="F2F6FA"/>
          </w:tcPr>
          <w:p>
            <w:r/>
            <w:r>
              <w:rPr>
                <w:sz w:val="15"/>
              </w:rPr>
              <w:t>UAE emergency guidance [F12]; Sharjah emergency numbers [SH2]; RAKEZ HS&amp;E Regulations [RK6]</w:t>
            </w:r>
          </w:p>
        </w:tc>
        <w:tc>
          <w:tcPr>
            <w:tcW w:type="dxa" w:w="1191"/>
            <w:shd w:val="clear" w:color="auto" w:fill="F2F6FA"/>
          </w:tcPr>
          <w:p>
            <w:r/>
            <w:r>
              <w:rPr>
                <w:sz w:val="15"/>
              </w:rPr>
              <w:t>All UAE</w:t>
            </w:r>
          </w:p>
        </w:tc>
        <w:tc>
          <w:tcPr>
            <w:tcW w:type="dxa" w:w="907"/>
            <w:shd w:val="clear" w:color="auto" w:fill="F2F6FA"/>
          </w:tcPr>
          <w:p>
            <w:r/>
            <w:r>
              <w:rPr>
                <w:sz w:val="15"/>
              </w:rPr>
              <w:t>High</w:t>
            </w:r>
          </w:p>
        </w:tc>
        <w:tc>
          <w:tcPr>
            <w:tcW w:type="dxa" w:w="1134"/>
            <w:shd w:val="clear" w:color="auto" w:fill="F2F6FA"/>
          </w:tcPr>
          <w:p>
            <w:r/>
            <w:r>
              <w:rPr>
                <w:sz w:val="15"/>
              </w:rPr>
            </w:r>
          </w:p>
        </w:tc>
        <w:tc>
          <w:tcPr>
            <w:tcW w:type="dxa" w:w="1814"/>
            <w:shd w:val="clear" w:color="auto" w:fill="F2F6FA"/>
          </w:tcPr>
          <w:p>
            <w:r/>
            <w:r>
              <w:rPr>
                <w:sz w:val="15"/>
              </w:rPr>
            </w:r>
          </w:p>
        </w:tc>
      </w:tr>
      <w:tr>
        <w:trPr>
          <w:cantSplit/>
        </w:trPr>
        <w:tc>
          <w:tcPr>
            <w:tcW w:type="dxa" w:w="510"/>
          </w:tcPr>
          <w:p>
            <w:r/>
            <w:r>
              <w:rPr>
                <w:sz w:val="15"/>
              </w:rPr>
              <w:t>92</w:t>
            </w:r>
          </w:p>
        </w:tc>
        <w:tc>
          <w:tcPr>
            <w:tcW w:type="dxa" w:w="3742"/>
          </w:tcPr>
          <w:p>
            <w:r/>
            <w:r>
              <w:rPr>
                <w:sz w:val="15"/>
              </w:rPr>
              <w:t>Keep an all-weather emergency-access route, a clear gate, visible fire points and elevated muster areas outside flood paths.</w:t>
            </w:r>
          </w:p>
        </w:tc>
        <w:tc>
          <w:tcPr>
            <w:tcW w:type="dxa" w:w="3061"/>
          </w:tcPr>
          <w:p>
            <w:r/>
            <w:r>
              <w:rPr>
                <w:sz w:val="15"/>
              </w:rPr>
              <w:t>Flooded or obstructed access delays fire and rescue response and compromises evacuation.</w:t>
            </w:r>
          </w:p>
        </w:tc>
        <w:tc>
          <w:tcPr>
            <w:tcW w:type="dxa" w:w="2381"/>
          </w:tcPr>
          <w:p>
            <w:r/>
            <w:r>
              <w:rPr>
                <w:sz w:val="15"/>
              </w:rPr>
              <w:t>UAE Fire and Life Safety Code [DB7]; Civil Defence Decree-Law 35/2024 [F5]</w:t>
            </w:r>
          </w:p>
        </w:tc>
        <w:tc>
          <w:tcPr>
            <w:tcW w:type="dxa" w:w="1191"/>
          </w:tcPr>
          <w:p>
            <w:r/>
            <w:r>
              <w:rPr>
                <w:sz w:val="15"/>
              </w:rPr>
              <w:t>All UAE</w:t>
            </w:r>
          </w:p>
        </w:tc>
        <w:tc>
          <w:tcPr>
            <w:tcW w:type="dxa" w:w="907"/>
          </w:tcPr>
          <w:p>
            <w:r/>
            <w:r>
              <w:rPr>
                <w:sz w:val="15"/>
              </w:rPr>
              <w:t>Critical</w:t>
            </w:r>
          </w:p>
        </w:tc>
        <w:tc>
          <w:tcPr>
            <w:tcW w:type="dxa" w:w="1134"/>
          </w:tcPr>
          <w:p>
            <w:r/>
            <w:r>
              <w:rPr>
                <w:sz w:val="15"/>
              </w:rPr>
            </w:r>
          </w:p>
        </w:tc>
        <w:tc>
          <w:tcPr>
            <w:tcW w:type="dxa" w:w="1814"/>
          </w:tcPr>
          <w:p>
            <w:r/>
            <w:r>
              <w:rPr>
                <w:sz w:val="15"/>
              </w:rPr>
            </w:r>
          </w:p>
        </w:tc>
      </w:tr>
      <w:tr>
        <w:trPr>
          <w:cantSplit/>
        </w:trPr>
        <w:tc>
          <w:tcPr>
            <w:tcW w:type="dxa" w:w="510"/>
            <w:shd w:val="clear" w:color="auto" w:fill="F2F6FA"/>
          </w:tcPr>
          <w:p>
            <w:r/>
            <w:r>
              <w:rPr>
                <w:sz w:val="15"/>
              </w:rPr>
              <w:t>93</w:t>
            </w:r>
          </w:p>
        </w:tc>
        <w:tc>
          <w:tcPr>
            <w:tcW w:type="dxa" w:w="3742"/>
            <w:shd w:val="clear" w:color="auto" w:fill="F2F6FA"/>
          </w:tcPr>
          <w:p>
            <w:r/>
            <w:r>
              <w:rPr>
                <w:sz w:val="15"/>
              </w:rPr>
              <w:t>Activate headcount, radio or telephone checks and subcontractor roll-call whenever work is stopped.</w:t>
            </w:r>
          </w:p>
        </w:tc>
        <w:tc>
          <w:tcPr>
            <w:tcW w:type="dxa" w:w="3061"/>
            <w:shd w:val="clear" w:color="auto" w:fill="F2F6FA"/>
          </w:tcPr>
          <w:p>
            <w:r/>
            <w:r>
              <w:rPr>
                <w:sz w:val="15"/>
              </w:rPr>
              <w:t>A site cannot safely evacuate or restart when people are unaccounted for.</w:t>
            </w:r>
          </w:p>
        </w:tc>
        <w:tc>
          <w:tcPr>
            <w:tcW w:type="dxa" w:w="2381"/>
            <w:shd w:val="clear" w:color="auto" w:fill="F2F6FA"/>
          </w:tcPr>
          <w:p>
            <w:r/>
            <w:r>
              <w:rPr>
                <w:sz w:val="15"/>
              </w:rPr>
              <w:t>MOI/NCEMA April 2024 response [EV2]; NCEMA BCM guide [F14]</w:t>
            </w:r>
          </w:p>
        </w:tc>
        <w:tc>
          <w:tcPr>
            <w:tcW w:type="dxa" w:w="1191"/>
            <w:shd w:val="clear" w:color="auto" w:fill="F2F6FA"/>
          </w:tcPr>
          <w:p>
            <w:r/>
            <w:r>
              <w:rPr>
                <w:sz w:val="15"/>
              </w:rPr>
              <w:t>All UAE</w:t>
            </w:r>
          </w:p>
        </w:tc>
        <w:tc>
          <w:tcPr>
            <w:tcW w:type="dxa" w:w="907"/>
            <w:shd w:val="clear" w:color="auto" w:fill="F2F6FA"/>
          </w:tcPr>
          <w:p>
            <w:r/>
            <w:r>
              <w:rPr>
                <w:sz w:val="15"/>
              </w:rPr>
              <w:t>Critical</w:t>
            </w:r>
          </w:p>
        </w:tc>
        <w:tc>
          <w:tcPr>
            <w:tcW w:type="dxa" w:w="1134"/>
            <w:shd w:val="clear" w:color="auto" w:fill="F2F6FA"/>
          </w:tcPr>
          <w:p>
            <w:r/>
            <w:r>
              <w:rPr>
                <w:sz w:val="15"/>
              </w:rPr>
            </w:r>
          </w:p>
        </w:tc>
        <w:tc>
          <w:tcPr>
            <w:tcW w:type="dxa" w:w="1814"/>
            <w:shd w:val="clear" w:color="auto" w:fill="F2F6FA"/>
          </w:tcPr>
          <w:p>
            <w:r/>
            <w:r>
              <w:rPr>
                <w:sz w:val="15"/>
              </w:rPr>
            </w:r>
          </w:p>
        </w:tc>
      </w:tr>
      <w:tr>
        <w:trPr>
          <w:cantSplit/>
        </w:trPr>
        <w:tc>
          <w:tcPr>
            <w:tcW w:type="dxa" w:w="510"/>
          </w:tcPr>
          <w:p>
            <w:r/>
            <w:r>
              <w:rPr>
                <w:sz w:val="15"/>
              </w:rPr>
              <w:t>94</w:t>
            </w:r>
          </w:p>
        </w:tc>
        <w:tc>
          <w:tcPr>
            <w:tcW w:type="dxa" w:w="3742"/>
          </w:tcPr>
          <w:p>
            <w:r/>
            <w:r>
              <w:rPr>
                <w:sz w:val="15"/>
              </w:rPr>
              <w:t>Prohibit driving or walking through rising water, flood barriers, wadis, torrents or closed roads.</w:t>
            </w:r>
          </w:p>
        </w:tc>
        <w:tc>
          <w:tcPr>
            <w:tcW w:type="dxa" w:w="3061"/>
          </w:tcPr>
          <w:p>
            <w:r/>
            <w:r>
              <w:rPr>
                <w:sz w:val="15"/>
              </w:rPr>
              <w:t>Water depth, current, washout and electrical hazards are not reliably visible.</w:t>
            </w:r>
          </w:p>
        </w:tc>
        <w:tc>
          <w:tcPr>
            <w:tcW w:type="dxa" w:w="2381"/>
          </w:tcPr>
          <w:p>
            <w:r/>
            <w:r>
              <w:rPr>
                <w:sz w:val="15"/>
              </w:rPr>
              <w:t>NCEMA [F4]; UAE emergency guidance [F12]</w:t>
            </w:r>
          </w:p>
        </w:tc>
        <w:tc>
          <w:tcPr>
            <w:tcW w:type="dxa" w:w="1191"/>
          </w:tcPr>
          <w:p>
            <w:r/>
            <w:r>
              <w:rPr>
                <w:sz w:val="15"/>
              </w:rPr>
              <w:t>All UAE</w:t>
            </w:r>
          </w:p>
        </w:tc>
        <w:tc>
          <w:tcPr>
            <w:tcW w:type="dxa" w:w="907"/>
          </w:tcPr>
          <w:p>
            <w:r/>
            <w:r>
              <w:rPr>
                <w:sz w:val="15"/>
              </w:rPr>
              <w:t>Critical</w:t>
            </w:r>
          </w:p>
        </w:tc>
        <w:tc>
          <w:tcPr>
            <w:tcW w:type="dxa" w:w="1134"/>
          </w:tcPr>
          <w:p>
            <w:r/>
            <w:r>
              <w:rPr>
                <w:sz w:val="15"/>
              </w:rPr>
            </w:r>
          </w:p>
        </w:tc>
        <w:tc>
          <w:tcPr>
            <w:tcW w:type="dxa" w:w="1814"/>
          </w:tcPr>
          <w:p>
            <w:r/>
            <w:r>
              <w:rPr>
                <w:sz w:val="15"/>
              </w:rPr>
            </w:r>
          </w:p>
        </w:tc>
      </w:tr>
      <w:tr>
        <w:trPr>
          <w:cantSplit/>
        </w:trPr>
        <w:tc>
          <w:tcPr>
            <w:tcW w:type="dxa" w:w="510"/>
            <w:shd w:val="clear" w:color="auto" w:fill="F2F6FA"/>
          </w:tcPr>
          <w:p>
            <w:r/>
            <w:r>
              <w:rPr>
                <w:sz w:val="15"/>
              </w:rPr>
              <w:t>95</w:t>
            </w:r>
          </w:p>
        </w:tc>
        <w:tc>
          <w:tcPr>
            <w:tcW w:type="dxa" w:w="3742"/>
            <w:shd w:val="clear" w:color="auto" w:fill="F2F6FA"/>
          </w:tcPr>
          <w:p>
            <w:r/>
            <w:r>
              <w:rPr>
                <w:sz w:val="15"/>
              </w:rPr>
              <w:t>During the event, isolate energy where safe, secure loose items, protect drains and deploy only trained personnel under the approved plan; escalate public-drain obstruction, sewage overflow, utility damage, fire or pollution promptly.</w:t>
            </w:r>
          </w:p>
        </w:tc>
        <w:tc>
          <w:tcPr>
            <w:tcW w:type="dxa" w:w="3061"/>
            <w:shd w:val="clear" w:color="auto" w:fill="F2F6FA"/>
          </w:tcPr>
          <w:p>
            <w:r/>
            <w:r>
              <w:rPr>
                <w:sz w:val="15"/>
              </w:rPr>
              <w:t>Uncontrolled response activity causes secondary electrical, lifting and drowning incidents.</w:t>
            </w:r>
          </w:p>
        </w:tc>
        <w:tc>
          <w:tcPr>
            <w:tcW w:type="dxa" w:w="2381"/>
            <w:shd w:val="clear" w:color="auto" w:fill="F2F6FA"/>
          </w:tcPr>
          <w:p>
            <w:r/>
            <w:r>
              <w:rPr>
                <w:sz w:val="15"/>
              </w:rPr>
              <w:t>NCEMA [F3]; NCEMA emergency guide [F4]; Federal Law No. 24/1999 [F9]</w:t>
            </w:r>
          </w:p>
        </w:tc>
        <w:tc>
          <w:tcPr>
            <w:tcW w:type="dxa" w:w="1191"/>
            <w:shd w:val="clear" w:color="auto" w:fill="F2F6FA"/>
          </w:tcPr>
          <w:p>
            <w:r/>
            <w:r>
              <w:rPr>
                <w:sz w:val="15"/>
              </w:rPr>
              <w:t>All UAE</w:t>
            </w:r>
          </w:p>
        </w:tc>
        <w:tc>
          <w:tcPr>
            <w:tcW w:type="dxa" w:w="907"/>
            <w:shd w:val="clear" w:color="auto" w:fill="F2F6FA"/>
          </w:tcPr>
          <w:p>
            <w:r/>
            <w:r>
              <w:rPr>
                <w:sz w:val="15"/>
              </w:rPr>
              <w:t>High</w:t>
            </w:r>
          </w:p>
        </w:tc>
        <w:tc>
          <w:tcPr>
            <w:tcW w:type="dxa" w:w="1134"/>
            <w:shd w:val="clear" w:color="auto" w:fill="F2F6FA"/>
          </w:tcPr>
          <w:p>
            <w:r/>
            <w:r>
              <w:rPr>
                <w:sz w:val="15"/>
              </w:rPr>
            </w:r>
          </w:p>
        </w:tc>
        <w:tc>
          <w:tcPr>
            <w:tcW w:type="dxa" w:w="1814"/>
            <w:shd w:val="clear" w:color="auto" w:fill="F2F6FA"/>
          </w:tcPr>
          <w:p>
            <w:r/>
            <w:r>
              <w:rPr>
                <w:sz w:val="15"/>
              </w:rPr>
            </w:r>
          </w:p>
        </w:tc>
      </w:tr>
    </w:tbl>
    <w:p/>
    <w:p>
      <w:pPr>
        <w:pStyle w:val="Heading2"/>
      </w:pPr>
      <w:r>
        <w:t>J. Recovery, Reinstatement &amp; Assurance</w:t>
      </w:r>
    </w:p>
    <w:tbl>
      <w:tblPr>
        <w:tblStyle w:val="TableGrid"/>
        <w:tblW w:type="auto" w:w="0"/>
        <w:jc w:val="center"/>
        <w:tblLook w:firstColumn="1" w:firstRow="1" w:lastColumn="0" w:lastRow="0" w:noHBand="0" w:noVBand="1" w:val="04A0"/>
        <w:tblLayout w:type="fixed"/>
      </w:tblPr>
      <w:tblGrid>
        <w:gridCol w:w="510"/>
        <w:gridCol w:w="3742"/>
        <w:gridCol w:w="3062"/>
        <w:gridCol w:w="2381"/>
        <w:gridCol w:w="1191"/>
        <w:gridCol w:w="907"/>
        <w:gridCol w:w="1134"/>
        <w:gridCol w:w="1814"/>
      </w:tblGrid>
      <w:tr>
        <w:trPr>
          <w:cantSplit/>
        </w:trPr>
        <w:tc>
          <w:tcPr>
            <w:tcW w:type="dxa" w:w="510"/>
            <w:shd w:val="clear" w:color="auto" w:fill="126E6E"/>
          </w:tcPr>
          <w:p>
            <w:r/>
            <w:r>
              <w:rPr>
                <w:b/>
                <w:color w:val="FFFFFF"/>
                <w:sz w:val="15"/>
              </w:rPr>
              <w:t>#</w:t>
            </w:r>
          </w:p>
        </w:tc>
        <w:tc>
          <w:tcPr>
            <w:tcW w:type="dxa" w:w="3742"/>
            <w:shd w:val="clear" w:color="auto" w:fill="126E6E"/>
          </w:tcPr>
          <w:p>
            <w:r/>
            <w:r>
              <w:rPr>
                <w:b/>
                <w:color w:val="FFFFFF"/>
                <w:sz w:val="15"/>
              </w:rPr>
              <w:t>Check item</w:t>
            </w:r>
          </w:p>
        </w:tc>
        <w:tc>
          <w:tcPr>
            <w:tcW w:type="dxa" w:w="3061"/>
            <w:shd w:val="clear" w:color="auto" w:fill="126E6E"/>
          </w:tcPr>
          <w:p>
            <w:r/>
            <w:r>
              <w:rPr>
                <w:b/>
                <w:color w:val="FFFFFF"/>
                <w:sz w:val="15"/>
              </w:rPr>
              <w:t>Why it matters (risk)</w:t>
            </w:r>
          </w:p>
        </w:tc>
        <w:tc>
          <w:tcPr>
            <w:tcW w:type="dxa" w:w="2381"/>
            <w:shd w:val="clear" w:color="auto" w:fill="126E6E"/>
          </w:tcPr>
          <w:p>
            <w:r/>
            <w:r>
              <w:rPr>
                <w:b/>
                <w:color w:val="FFFFFF"/>
                <w:sz w:val="15"/>
              </w:rPr>
              <w:t>Authority / source reference</w:t>
            </w:r>
          </w:p>
        </w:tc>
        <w:tc>
          <w:tcPr>
            <w:tcW w:type="dxa" w:w="1191"/>
            <w:shd w:val="clear" w:color="auto" w:fill="126E6E"/>
          </w:tcPr>
          <w:p>
            <w:r/>
            <w:r>
              <w:rPr>
                <w:b/>
                <w:color w:val="FFFFFF"/>
                <w:sz w:val="15"/>
              </w:rPr>
              <w:t>Applies to</w:t>
            </w:r>
          </w:p>
        </w:tc>
        <w:tc>
          <w:tcPr>
            <w:tcW w:type="dxa" w:w="907"/>
            <w:shd w:val="clear" w:color="auto" w:fill="126E6E"/>
          </w:tcPr>
          <w:p>
            <w:r/>
            <w:r>
              <w:rPr>
                <w:b/>
                <w:color w:val="FFFFFF"/>
                <w:sz w:val="15"/>
              </w:rPr>
              <w:t>Priority</w:t>
            </w:r>
          </w:p>
        </w:tc>
        <w:tc>
          <w:tcPr>
            <w:tcW w:type="dxa" w:w="1134"/>
            <w:shd w:val="clear" w:color="auto" w:fill="126E6E"/>
          </w:tcPr>
          <w:p>
            <w:r/>
            <w:r>
              <w:rPr>
                <w:b/>
                <w:color w:val="FFFFFF"/>
                <w:sz w:val="15"/>
              </w:rPr>
              <w:t>Status / initials</w:t>
            </w:r>
          </w:p>
        </w:tc>
        <w:tc>
          <w:tcPr>
            <w:tcW w:type="dxa" w:w="1814"/>
            <w:shd w:val="clear" w:color="auto" w:fill="126E6E"/>
          </w:tcPr>
          <w:p>
            <w:r/>
            <w:r>
              <w:rPr>
                <w:b/>
                <w:color w:val="FFFFFF"/>
                <w:sz w:val="15"/>
              </w:rPr>
              <w:t>Evidence reference</w:t>
            </w:r>
          </w:p>
        </w:tc>
      </w:tr>
      <w:tr>
        <w:trPr>
          <w:cantSplit/>
        </w:trPr>
        <w:tc>
          <w:tcPr>
            <w:tcW w:type="dxa" w:w="510"/>
          </w:tcPr>
          <w:p>
            <w:r/>
            <w:r>
              <w:rPr>
                <w:sz w:val="15"/>
              </w:rPr>
              <w:t>96</w:t>
            </w:r>
          </w:p>
        </w:tc>
        <w:tc>
          <w:tcPr>
            <w:tcW w:type="dxa" w:w="3742"/>
          </w:tcPr>
          <w:p>
            <w:r/>
            <w:r>
              <w:rPr>
                <w:sz w:val="15"/>
              </w:rPr>
              <w:t>Maintain exclusion zones and conduct a documented progressive re-entry instead of a blanket restart.</w:t>
            </w:r>
          </w:p>
        </w:tc>
        <w:tc>
          <w:tcPr>
            <w:tcW w:type="dxa" w:w="3061"/>
          </w:tcPr>
          <w:p>
            <w:r/>
            <w:r>
              <w:rPr>
                <w:sz w:val="15"/>
              </w:rPr>
              <w:t>Electrical, structural, contamination and ground hazards recover at different rates.</w:t>
            </w:r>
          </w:p>
        </w:tc>
        <w:tc>
          <w:tcPr>
            <w:tcW w:type="dxa" w:w="2381"/>
          </w:tcPr>
          <w:p>
            <w:r/>
            <w:r>
              <w:rPr>
                <w:sz w:val="15"/>
              </w:rPr>
              <w:t>NCEMA BCM guide [F14]; HSE [T4]</w:t>
            </w:r>
          </w:p>
        </w:tc>
        <w:tc>
          <w:tcPr>
            <w:tcW w:type="dxa" w:w="1191"/>
          </w:tcPr>
          <w:p>
            <w:r/>
            <w:r>
              <w:rPr>
                <w:sz w:val="15"/>
              </w:rPr>
              <w:t>All UAE</w:t>
            </w:r>
          </w:p>
        </w:tc>
        <w:tc>
          <w:tcPr>
            <w:tcW w:type="dxa" w:w="907"/>
          </w:tcPr>
          <w:p>
            <w:r/>
            <w:r>
              <w:rPr>
                <w:sz w:val="15"/>
              </w:rPr>
              <w:t>High</w:t>
            </w:r>
          </w:p>
        </w:tc>
        <w:tc>
          <w:tcPr>
            <w:tcW w:type="dxa" w:w="1134"/>
          </w:tcPr>
          <w:p>
            <w:r/>
            <w:r>
              <w:rPr>
                <w:sz w:val="15"/>
              </w:rPr>
            </w:r>
          </w:p>
        </w:tc>
        <w:tc>
          <w:tcPr>
            <w:tcW w:type="dxa" w:w="1814"/>
          </w:tcPr>
          <w:p>
            <w:r/>
            <w:r>
              <w:rPr>
                <w:sz w:val="15"/>
              </w:rPr>
            </w:r>
          </w:p>
        </w:tc>
      </w:tr>
      <w:tr>
        <w:trPr>
          <w:cantSplit/>
        </w:trPr>
        <w:tc>
          <w:tcPr>
            <w:tcW w:type="dxa" w:w="510"/>
            <w:shd w:val="clear" w:color="auto" w:fill="F2F6FA"/>
          </w:tcPr>
          <w:p>
            <w:r/>
            <w:r>
              <w:rPr>
                <w:sz w:val="15"/>
              </w:rPr>
              <w:t>97</w:t>
            </w:r>
          </w:p>
        </w:tc>
        <w:tc>
          <w:tcPr>
            <w:tcW w:type="dxa" w:w="3742"/>
            <w:shd w:val="clear" w:color="auto" w:fill="F2F6FA"/>
          </w:tcPr>
          <w:p>
            <w:r/>
            <w:r>
              <w:rPr>
                <w:sz w:val="15"/>
              </w:rPr>
              <w:t>Obtain competent documented release for excavations and slopes, electrical systems, lifting plant, scaffolds and temporary works before restart.</w:t>
            </w:r>
          </w:p>
        </w:tc>
        <w:tc>
          <w:tcPr>
            <w:tcW w:type="dxa" w:w="3061"/>
            <w:shd w:val="clear" w:color="auto" w:fill="F2F6FA"/>
          </w:tcPr>
          <w:p>
            <w:r/>
            <w:r>
              <w:rPr>
                <w:sz w:val="15"/>
              </w:rPr>
              <w:t>Elapsed time or a clear sky is not a technical safety acceptance.</w:t>
            </w:r>
          </w:p>
        </w:tc>
        <w:tc>
          <w:tcPr>
            <w:tcW w:type="dxa" w:w="2381"/>
            <w:shd w:val="clear" w:color="auto" w:fill="F2F6FA"/>
          </w:tcPr>
          <w:p>
            <w:r/>
            <w:r>
              <w:rPr>
                <w:sz w:val="15"/>
              </w:rPr>
              <w:t>ADOSH CoP 29.0 / 15.0 / 26.0 / 34.0 [AD3][AD4][AD5][AD6]</w:t>
            </w:r>
          </w:p>
        </w:tc>
        <w:tc>
          <w:tcPr>
            <w:tcW w:type="dxa" w:w="1191"/>
            <w:shd w:val="clear" w:color="auto" w:fill="F2F6FA"/>
          </w:tcPr>
          <w:p>
            <w:r/>
            <w:r>
              <w:rPr>
                <w:sz w:val="15"/>
              </w:rPr>
              <w:t>All UAE</w:t>
            </w:r>
          </w:p>
        </w:tc>
        <w:tc>
          <w:tcPr>
            <w:tcW w:type="dxa" w:w="907"/>
            <w:shd w:val="clear" w:color="auto" w:fill="F2F6FA"/>
          </w:tcPr>
          <w:p>
            <w:r/>
            <w:r>
              <w:rPr>
                <w:sz w:val="15"/>
              </w:rPr>
              <w:t>Critical</w:t>
            </w:r>
          </w:p>
        </w:tc>
        <w:tc>
          <w:tcPr>
            <w:tcW w:type="dxa" w:w="1134"/>
            <w:shd w:val="clear" w:color="auto" w:fill="F2F6FA"/>
          </w:tcPr>
          <w:p>
            <w:r/>
            <w:r>
              <w:rPr>
                <w:sz w:val="15"/>
              </w:rPr>
            </w:r>
          </w:p>
        </w:tc>
        <w:tc>
          <w:tcPr>
            <w:tcW w:type="dxa" w:w="1814"/>
            <w:shd w:val="clear" w:color="auto" w:fill="F2F6FA"/>
          </w:tcPr>
          <w:p>
            <w:r/>
            <w:r>
              <w:rPr>
                <w:sz w:val="15"/>
              </w:rPr>
            </w:r>
          </w:p>
        </w:tc>
      </w:tr>
      <w:tr>
        <w:trPr>
          <w:cantSplit/>
        </w:trPr>
        <w:tc>
          <w:tcPr>
            <w:tcW w:type="dxa" w:w="510"/>
          </w:tcPr>
          <w:p>
            <w:r/>
            <w:r>
              <w:rPr>
                <w:sz w:val="15"/>
              </w:rPr>
              <w:t>98</w:t>
            </w:r>
          </w:p>
        </w:tc>
        <w:tc>
          <w:tcPr>
            <w:tcW w:type="dxa" w:w="3742"/>
          </w:tcPr>
          <w:p>
            <w:r/>
            <w:r>
              <w:rPr>
                <w:sz w:val="15"/>
              </w:rPr>
              <w:t>Inspect roads, drainage, utilities, accommodation, potable water, sewage, fire systems and environmental controls before reopening.</w:t>
            </w:r>
          </w:p>
        </w:tc>
        <w:tc>
          <w:tcPr>
            <w:tcW w:type="dxa" w:w="3061"/>
          </w:tcPr>
          <w:p>
            <w:r/>
            <w:r>
              <w:rPr>
                <w:sz w:val="15"/>
              </w:rPr>
              <w:t>Recovery must cover welfare and off-site environmental interfaces, not only work equipment.</w:t>
            </w:r>
          </w:p>
        </w:tc>
        <w:tc>
          <w:tcPr>
            <w:tcW w:type="dxa" w:w="2381"/>
          </w:tcPr>
          <w:p>
            <w:r/>
            <w:r>
              <w:rPr>
                <w:sz w:val="15"/>
              </w:rPr>
              <w:t>Labour accommodation standards [F8]; Dubai Green Building Regulations [EN2]</w:t>
            </w:r>
          </w:p>
        </w:tc>
        <w:tc>
          <w:tcPr>
            <w:tcW w:type="dxa" w:w="1191"/>
          </w:tcPr>
          <w:p>
            <w:r/>
            <w:r>
              <w:rPr>
                <w:sz w:val="15"/>
              </w:rPr>
              <w:t>All UAE</w:t>
            </w:r>
          </w:p>
        </w:tc>
        <w:tc>
          <w:tcPr>
            <w:tcW w:type="dxa" w:w="907"/>
          </w:tcPr>
          <w:p>
            <w:r/>
            <w:r>
              <w:rPr>
                <w:sz w:val="15"/>
              </w:rPr>
              <w:t>High</w:t>
            </w:r>
          </w:p>
        </w:tc>
        <w:tc>
          <w:tcPr>
            <w:tcW w:type="dxa" w:w="1134"/>
          </w:tcPr>
          <w:p>
            <w:r/>
            <w:r>
              <w:rPr>
                <w:sz w:val="15"/>
              </w:rPr>
            </w:r>
          </w:p>
        </w:tc>
        <w:tc>
          <w:tcPr>
            <w:tcW w:type="dxa" w:w="1814"/>
          </w:tcPr>
          <w:p>
            <w:r/>
            <w:r>
              <w:rPr>
                <w:sz w:val="15"/>
              </w:rPr>
            </w:r>
          </w:p>
        </w:tc>
      </w:tr>
      <w:tr>
        <w:trPr>
          <w:cantSplit/>
        </w:trPr>
        <w:tc>
          <w:tcPr>
            <w:tcW w:type="dxa" w:w="510"/>
            <w:shd w:val="clear" w:color="auto" w:fill="F2F6FA"/>
          </w:tcPr>
          <w:p>
            <w:r/>
            <w:r>
              <w:rPr>
                <w:sz w:val="15"/>
              </w:rPr>
              <w:t>99</w:t>
            </w:r>
          </w:p>
        </w:tc>
        <w:tc>
          <w:tcPr>
            <w:tcW w:type="dxa" w:w="3742"/>
            <w:shd w:val="clear" w:color="auto" w:fill="F2F6FA"/>
          </w:tcPr>
          <w:p>
            <w:r/>
            <w:r>
              <w:rPr>
                <w:sz w:val="15"/>
              </w:rPr>
              <w:t>Photograph and map water levels, damaged assets, blocked drains, spills, discharge routes and material condition before clean-up, notify the insurer and contract administrator promptly, and log alerts, pump hours, stoppages, mitigation costs and approvals.</w:t>
            </w:r>
          </w:p>
        </w:tc>
        <w:tc>
          <w:tcPr>
            <w:tcW w:type="dxa" w:w="3061"/>
            <w:shd w:val="clear" w:color="auto" w:fill="F2F6FA"/>
          </w:tcPr>
          <w:p>
            <w:r/>
            <w:r>
              <w:rPr>
                <w:sz w:val="15"/>
              </w:rPr>
              <w:t>Contemporaneous records distinguish extreme-weather loss from maintenance or temporary-works failure.</w:t>
            </w:r>
          </w:p>
        </w:tc>
        <w:tc>
          <w:tcPr>
            <w:tcW w:type="dxa" w:w="2381"/>
            <w:shd w:val="clear" w:color="auto" w:fill="F2F6FA"/>
          </w:tcPr>
          <w:p>
            <w:r/>
            <w:r>
              <w:rPr>
                <w:sz w:val="15"/>
              </w:rPr>
              <w:t>Cabinet relief and assessment committee [EV3]; MOI/NCEMA April 2024 response [EV2]</w:t>
            </w:r>
          </w:p>
        </w:tc>
        <w:tc>
          <w:tcPr>
            <w:tcW w:type="dxa" w:w="1191"/>
            <w:shd w:val="clear" w:color="auto" w:fill="F2F6FA"/>
          </w:tcPr>
          <w:p>
            <w:r/>
            <w:r>
              <w:rPr>
                <w:sz w:val="15"/>
              </w:rPr>
              <w:t>All UAE</w:t>
            </w:r>
          </w:p>
        </w:tc>
        <w:tc>
          <w:tcPr>
            <w:tcW w:type="dxa" w:w="907"/>
            <w:shd w:val="clear" w:color="auto" w:fill="F2F6FA"/>
          </w:tcPr>
          <w:p>
            <w:r/>
            <w:r>
              <w:rPr>
                <w:sz w:val="15"/>
              </w:rPr>
              <w:t>High</w:t>
            </w:r>
          </w:p>
        </w:tc>
        <w:tc>
          <w:tcPr>
            <w:tcW w:type="dxa" w:w="1134"/>
            <w:shd w:val="clear" w:color="auto" w:fill="F2F6FA"/>
          </w:tcPr>
          <w:p>
            <w:r/>
            <w:r>
              <w:rPr>
                <w:sz w:val="15"/>
              </w:rPr>
            </w:r>
          </w:p>
        </w:tc>
        <w:tc>
          <w:tcPr>
            <w:tcW w:type="dxa" w:w="1814"/>
            <w:shd w:val="clear" w:color="auto" w:fill="F2F6FA"/>
          </w:tcPr>
          <w:p>
            <w:r/>
            <w:r>
              <w:rPr>
                <w:sz w:val="15"/>
              </w:rPr>
            </w:r>
          </w:p>
        </w:tc>
      </w:tr>
      <w:tr>
        <w:trPr>
          <w:cantSplit/>
        </w:trPr>
        <w:tc>
          <w:tcPr>
            <w:tcW w:type="dxa" w:w="510"/>
          </w:tcPr>
          <w:p>
            <w:r/>
            <w:r>
              <w:rPr>
                <w:sz w:val="15"/>
              </w:rPr>
              <w:t>100</w:t>
            </w:r>
          </w:p>
        </w:tc>
        <w:tc>
          <w:tcPr>
            <w:tcW w:type="dxa" w:w="3742"/>
          </w:tcPr>
          <w:p>
            <w:r/>
            <w:r>
              <w:rPr>
                <w:sz w:val="15"/>
              </w:rPr>
              <w:t>Remove contaminated silt and waste through approved routes, repair erosion, reinstate drainage and test water systems, then run an after-action review that updates the flood map, trigger matrix, contacts, designs and drills.</w:t>
            </w:r>
          </w:p>
        </w:tc>
        <w:tc>
          <w:tcPr>
            <w:tcW w:type="dxa" w:w="3061"/>
          </w:tcPr>
          <w:p>
            <w:r/>
            <w:r>
              <w:rPr>
                <w:sz w:val="15"/>
              </w:rPr>
              <w:t>Restoration is incomplete while pollutants remain or protective capacity is unrecovered.</w:t>
            </w:r>
          </w:p>
        </w:tc>
        <w:tc>
          <w:tcPr>
            <w:tcW w:type="dxa" w:w="2381"/>
          </w:tcPr>
          <w:p>
            <w:r/>
            <w:r>
              <w:rPr>
                <w:sz w:val="15"/>
              </w:rPr>
              <w:t>Federal Law No. 12/2018 [F11]; Dubai Green Building Regulations [EN2]; NCEMA BCM guide [F14]</w:t>
            </w:r>
          </w:p>
        </w:tc>
        <w:tc>
          <w:tcPr>
            <w:tcW w:type="dxa" w:w="1191"/>
          </w:tcPr>
          <w:p>
            <w:r/>
            <w:r>
              <w:rPr>
                <w:sz w:val="15"/>
              </w:rPr>
              <w:t>All UAE</w:t>
            </w:r>
          </w:p>
        </w:tc>
        <w:tc>
          <w:tcPr>
            <w:tcW w:type="dxa" w:w="907"/>
          </w:tcPr>
          <w:p>
            <w:r/>
            <w:r>
              <w:rPr>
                <w:sz w:val="15"/>
              </w:rPr>
              <w:t>High</w:t>
            </w:r>
          </w:p>
        </w:tc>
        <w:tc>
          <w:tcPr>
            <w:tcW w:type="dxa" w:w="1134"/>
          </w:tcPr>
          <w:p>
            <w:r/>
            <w:r>
              <w:rPr>
                <w:sz w:val="15"/>
              </w:rPr>
            </w:r>
          </w:p>
        </w:tc>
        <w:tc>
          <w:tcPr>
            <w:tcW w:type="dxa" w:w="1814"/>
          </w:tcPr>
          <w:p>
            <w:r/>
            <w:r>
              <w:rPr>
                <w:sz w:val="15"/>
              </w:rPr>
            </w:r>
          </w:p>
        </w:tc>
      </w:tr>
    </w:tbl>
    <w:p/>
    <w:p>
      <w:pPr>
        <w:pStyle w:val="Heading2"/>
      </w:pPr>
      <w:r>
        <w:t>Sign-off and declaration</w:t>
      </w:r>
    </w:p>
    <w:tbl>
      <w:tblPr>
        <w:tblStyle w:val="TableGrid"/>
        <w:tblW w:type="auto" w:w="0"/>
        <w:jc w:val="center"/>
        <w:tblLook w:firstColumn="1" w:firstRow="1" w:lastColumn="0" w:lastRow="0" w:noHBand="0" w:noVBand="1" w:val="04A0"/>
        <w:tblLayout w:type="fixed"/>
      </w:tblPr>
      <w:tblGrid>
        <w:gridCol w:w="3402"/>
        <w:gridCol w:w="3969"/>
        <w:gridCol w:w="3969"/>
        <w:gridCol w:w="3118"/>
      </w:tblGrid>
      <w:tr>
        <w:trPr>
          <w:cantSplit/>
        </w:trPr>
        <w:tc>
          <w:tcPr>
            <w:tcW w:type="dxa" w:w="3402"/>
            <w:shd w:val="clear" w:color="auto" w:fill="126E6E"/>
          </w:tcPr>
          <w:p>
            <w:r/>
            <w:r>
              <w:rPr>
                <w:b/>
                <w:color w:val="FFFFFF"/>
                <w:sz w:val="18"/>
              </w:rPr>
              <w:t>Role</w:t>
            </w:r>
          </w:p>
        </w:tc>
        <w:tc>
          <w:tcPr>
            <w:tcW w:type="dxa" w:w="3969"/>
            <w:shd w:val="clear" w:color="auto" w:fill="126E6E"/>
          </w:tcPr>
          <w:p>
            <w:r/>
            <w:r>
              <w:rPr>
                <w:b/>
                <w:color w:val="FFFFFF"/>
                <w:sz w:val="18"/>
              </w:rPr>
              <w:t>Name</w:t>
            </w:r>
          </w:p>
        </w:tc>
        <w:tc>
          <w:tcPr>
            <w:tcW w:type="dxa" w:w="3969"/>
            <w:shd w:val="clear" w:color="auto" w:fill="126E6E"/>
          </w:tcPr>
          <w:p>
            <w:r/>
            <w:r>
              <w:rPr>
                <w:b/>
                <w:color w:val="FFFFFF"/>
                <w:sz w:val="18"/>
              </w:rPr>
              <w:t>Signature</w:t>
            </w:r>
          </w:p>
        </w:tc>
        <w:tc>
          <w:tcPr>
            <w:tcW w:type="dxa" w:w="3118"/>
            <w:shd w:val="clear" w:color="auto" w:fill="126E6E"/>
          </w:tcPr>
          <w:p>
            <w:r/>
            <w:r>
              <w:rPr>
                <w:b/>
                <w:color w:val="FFFFFF"/>
                <w:sz w:val="18"/>
              </w:rPr>
              <w:t>Date</w:t>
            </w:r>
          </w:p>
        </w:tc>
      </w:tr>
      <w:tr>
        <w:trPr>
          <w:cantSplit/>
        </w:trPr>
        <w:tc>
          <w:tcPr>
            <w:tcW w:type="dxa" w:w="3402"/>
          </w:tcPr>
          <w:p>
            <w:r/>
            <w:r>
              <w:rPr>
                <w:sz w:val="18"/>
              </w:rPr>
              <w:t>Site Manager</w:t>
            </w:r>
          </w:p>
        </w:tc>
        <w:tc>
          <w:tcPr>
            <w:tcW w:type="dxa" w:w="3969"/>
          </w:tcPr>
          <w:p>
            <w:r/>
            <w:r>
              <w:rPr>
                <w:sz w:val="18"/>
              </w:rPr>
            </w:r>
          </w:p>
        </w:tc>
        <w:tc>
          <w:tcPr>
            <w:tcW w:type="dxa" w:w="3969"/>
          </w:tcPr>
          <w:p>
            <w:r/>
            <w:r>
              <w:rPr>
                <w:sz w:val="18"/>
              </w:rPr>
            </w:r>
          </w:p>
        </w:tc>
        <w:tc>
          <w:tcPr>
            <w:tcW w:type="dxa" w:w="3118"/>
          </w:tcPr>
          <w:p>
            <w:r/>
            <w:r>
              <w:rPr>
                <w:sz w:val="18"/>
              </w:rPr>
            </w:r>
          </w:p>
        </w:tc>
      </w:tr>
      <w:tr>
        <w:trPr>
          <w:cantSplit/>
        </w:trPr>
        <w:tc>
          <w:tcPr>
            <w:tcW w:type="dxa" w:w="3402"/>
            <w:shd w:val="clear" w:color="auto" w:fill="F2F6FA"/>
          </w:tcPr>
          <w:p>
            <w:r/>
            <w:r>
              <w:rPr>
                <w:sz w:val="18"/>
              </w:rPr>
              <w:t>HSE Manager</w:t>
            </w:r>
          </w:p>
        </w:tc>
        <w:tc>
          <w:tcPr>
            <w:tcW w:type="dxa" w:w="3969"/>
            <w:shd w:val="clear" w:color="auto" w:fill="F2F6FA"/>
          </w:tcPr>
          <w:p>
            <w:r/>
            <w:r>
              <w:rPr>
                <w:sz w:val="18"/>
              </w:rPr>
            </w:r>
          </w:p>
        </w:tc>
        <w:tc>
          <w:tcPr>
            <w:tcW w:type="dxa" w:w="3969"/>
            <w:shd w:val="clear" w:color="auto" w:fill="F2F6FA"/>
          </w:tcPr>
          <w:p>
            <w:r/>
            <w:r>
              <w:rPr>
                <w:sz w:val="18"/>
              </w:rPr>
            </w:r>
          </w:p>
        </w:tc>
        <w:tc>
          <w:tcPr>
            <w:tcW w:type="dxa" w:w="3118"/>
            <w:shd w:val="clear" w:color="auto" w:fill="F2F6FA"/>
          </w:tcPr>
          <w:p>
            <w:r/>
            <w:r>
              <w:rPr>
                <w:sz w:val="18"/>
              </w:rPr>
            </w:r>
          </w:p>
        </w:tc>
      </w:tr>
      <w:tr>
        <w:trPr>
          <w:cantSplit/>
        </w:trPr>
        <w:tc>
          <w:tcPr>
            <w:tcW w:type="dxa" w:w="3402"/>
          </w:tcPr>
          <w:p>
            <w:r/>
            <w:r>
              <w:rPr>
                <w:sz w:val="18"/>
              </w:rPr>
              <w:t>Temporary Works Coordinator</w:t>
            </w:r>
          </w:p>
        </w:tc>
        <w:tc>
          <w:tcPr>
            <w:tcW w:type="dxa" w:w="3969"/>
          </w:tcPr>
          <w:p>
            <w:r/>
            <w:r>
              <w:rPr>
                <w:sz w:val="18"/>
              </w:rPr>
            </w:r>
          </w:p>
        </w:tc>
        <w:tc>
          <w:tcPr>
            <w:tcW w:type="dxa" w:w="3969"/>
          </w:tcPr>
          <w:p>
            <w:r/>
            <w:r>
              <w:rPr>
                <w:sz w:val="18"/>
              </w:rPr>
            </w:r>
          </w:p>
        </w:tc>
        <w:tc>
          <w:tcPr>
            <w:tcW w:type="dxa" w:w="3118"/>
          </w:tcPr>
          <w:p>
            <w:r/>
            <w:r>
              <w:rPr>
                <w:sz w:val="18"/>
              </w:rPr>
            </w:r>
          </w:p>
        </w:tc>
      </w:tr>
      <w:tr>
        <w:trPr>
          <w:cantSplit/>
        </w:trPr>
        <w:tc>
          <w:tcPr>
            <w:tcW w:type="dxa" w:w="3402"/>
            <w:shd w:val="clear" w:color="auto" w:fill="F2F6FA"/>
          </w:tcPr>
          <w:p>
            <w:r/>
            <w:r>
              <w:rPr>
                <w:sz w:val="18"/>
              </w:rPr>
              <w:t>Electrical Authorised Person</w:t>
            </w:r>
          </w:p>
        </w:tc>
        <w:tc>
          <w:tcPr>
            <w:tcW w:type="dxa" w:w="3969"/>
            <w:shd w:val="clear" w:color="auto" w:fill="F2F6FA"/>
          </w:tcPr>
          <w:p>
            <w:r/>
            <w:r>
              <w:rPr>
                <w:sz w:val="18"/>
              </w:rPr>
            </w:r>
          </w:p>
        </w:tc>
        <w:tc>
          <w:tcPr>
            <w:tcW w:type="dxa" w:w="3969"/>
            <w:shd w:val="clear" w:color="auto" w:fill="F2F6FA"/>
          </w:tcPr>
          <w:p>
            <w:r/>
            <w:r>
              <w:rPr>
                <w:sz w:val="18"/>
              </w:rPr>
            </w:r>
          </w:p>
        </w:tc>
        <w:tc>
          <w:tcPr>
            <w:tcW w:type="dxa" w:w="3118"/>
            <w:shd w:val="clear" w:color="auto" w:fill="F2F6FA"/>
          </w:tcPr>
          <w:p>
            <w:r/>
            <w:r>
              <w:rPr>
                <w:sz w:val="18"/>
              </w:rPr>
            </w:r>
          </w:p>
        </w:tc>
      </w:tr>
      <w:tr>
        <w:trPr>
          <w:cantSplit/>
        </w:trPr>
        <w:tc>
          <w:tcPr>
            <w:tcW w:type="dxa" w:w="3402"/>
          </w:tcPr>
          <w:p>
            <w:r/>
            <w:r>
              <w:rPr>
                <w:sz w:val="18"/>
              </w:rPr>
              <w:t>Environmental Officer</w:t>
            </w:r>
          </w:p>
        </w:tc>
        <w:tc>
          <w:tcPr>
            <w:tcW w:type="dxa" w:w="3969"/>
          </w:tcPr>
          <w:p>
            <w:r/>
            <w:r>
              <w:rPr>
                <w:sz w:val="18"/>
              </w:rPr>
            </w:r>
          </w:p>
        </w:tc>
        <w:tc>
          <w:tcPr>
            <w:tcW w:type="dxa" w:w="3969"/>
          </w:tcPr>
          <w:p>
            <w:r/>
            <w:r>
              <w:rPr>
                <w:sz w:val="18"/>
              </w:rPr>
            </w:r>
          </w:p>
        </w:tc>
        <w:tc>
          <w:tcPr>
            <w:tcW w:type="dxa" w:w="3118"/>
          </w:tcPr>
          <w:p>
            <w:r/>
            <w:r>
              <w:rPr>
                <w:sz w:val="18"/>
              </w:rPr>
            </w:r>
          </w:p>
        </w:tc>
      </w:tr>
      <w:tr>
        <w:trPr>
          <w:cantSplit/>
        </w:trPr>
        <w:tc>
          <w:tcPr>
            <w:tcW w:type="dxa" w:w="3402"/>
            <w:shd w:val="clear" w:color="auto" w:fill="F2F6FA"/>
          </w:tcPr>
          <w:p>
            <w:r/>
            <w:r>
              <w:rPr>
                <w:sz w:val="18"/>
              </w:rPr>
              <w:t>Client / Engineer representative</w:t>
            </w:r>
          </w:p>
        </w:tc>
        <w:tc>
          <w:tcPr>
            <w:tcW w:type="dxa" w:w="3969"/>
            <w:shd w:val="clear" w:color="auto" w:fill="F2F6FA"/>
          </w:tcPr>
          <w:p>
            <w:r/>
            <w:r>
              <w:rPr>
                <w:sz w:val="18"/>
              </w:rPr>
            </w:r>
          </w:p>
        </w:tc>
        <w:tc>
          <w:tcPr>
            <w:tcW w:type="dxa" w:w="3969"/>
            <w:shd w:val="clear" w:color="auto" w:fill="F2F6FA"/>
          </w:tcPr>
          <w:p>
            <w:r/>
            <w:r>
              <w:rPr>
                <w:sz w:val="18"/>
              </w:rPr>
            </w:r>
          </w:p>
        </w:tc>
        <w:tc>
          <w:tcPr>
            <w:tcW w:type="dxa" w:w="3118"/>
            <w:shd w:val="clear" w:color="auto" w:fill="F2F6FA"/>
          </w:tcPr>
          <w:p>
            <w:r/>
            <w:r>
              <w:rPr>
                <w:sz w:val="18"/>
              </w:rPr>
            </w:r>
          </w:p>
        </w:tc>
      </w:tr>
    </w:tbl>
    <w:p/>
    <w:p>
      <w:r>
        <w:rPr>
          <w:color w:val="9C5700"/>
          <w:sz w:val="16"/>
        </w:rPr>
        <w:t>Declaration: the persons above confirm that this checklist has been adapted to the project, that the recorded status is accurate, that evidence exists for every completed item, and that no item marked N/A affects a legal, permit or authority requirement. DISCLAIMER - USE AS A GUIDE ONLY. This checklist is a general starting point for preparing a UAE construction site for rain and the winter season. Every site is different: some items will not apply to your project, and your site may require additional items that are not listed here. Use it to help you get started and prepared, then adapt it to your own scope, location, permits, approved designs and risk assessment, and have it reviewed by a competent person. It does not replace UAE federal, emirate, free-zone or utility requirements, permit conditions, approved designs, Civil Defence directions, manufacturer instructions or professional advice. Always confirm current requirements with the relevant authority before relying on any item.</w:t>
      </w:r>
    </w:p>
    <w:sectPr w:rsidR="00FC693F" w:rsidRPr="0006063C" w:rsidSect="00034616">
      <w:footerReference w:type="default" r:id="rId9"/>
      <w:pgSz w:w="16838" w:h="11906" w:orient="landscape"/>
      <w:pgMar w:top="794" w:right="794" w:bottom="794" w:left="79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color w:val="595959"/>
        <w:sz w:val="16"/>
      </w:rPr>
      <w:t xml:space="preserve">UAE Winter Rain Readiness Checklist - site issue copy   |   Page </w:t>
    </w:r>
    <w:r>
      <w:rPr>
        <w:sz w:val="16"/>
      </w:rPr>
      <w:fldChar w:fldCharType="begin"/>
      <w:instrText xml:space="preserve">PAGE</w:instrText>
      <w:fldChar w:fldCharType="end"/>
    </w:r>
    <w:r>
      <w:t xml:space="preserve"> of </w:t>
    </w:r>
    <w:r>
      <w:rPr>
        <w:sz w:val="16"/>
      </w:rPr>
      <w:fldChar w:fldCharType="begin"/>
      <w:instrText xml:space="preserve">NUMPAGES</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line="254" w:lineRule="auto"/>
    </w:pPr>
    <w:rPr>
      <w:rFonts w:ascii="Calibri" w:hAnsi="Calibri"/>
      <w:sz w:val="2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00" w:after="120"/>
      <w:outlineLvl w:val="0"/>
    </w:pPr>
    <w:rPr>
      <w:rFonts w:asciiTheme="majorHAnsi" w:eastAsiaTheme="majorEastAsia" w:hAnsiTheme="majorHAnsi" w:cstheme="majorBidi" w:ascii="Calibri" w:hAnsi="Calibri"/>
      <w:b/>
      <w:bCs/>
      <w:color w:val="0F2C4C"/>
      <w:sz w:val="34"/>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Theme="majorHAnsi" w:eastAsiaTheme="majorEastAsia" w:hAnsiTheme="majorHAnsi" w:cstheme="majorBidi" w:ascii="Calibri" w:hAnsi="Calibri"/>
      <w:b/>
      <w:bCs/>
      <w:color w:val="0F2C4C"/>
      <w:sz w:val="26"/>
      <w:szCs w:val="26"/>
    </w:rPr>
  </w:style>
  <w:style w:type="paragraph" w:styleId="Heading3">
    <w:name w:val="heading 3"/>
    <w:basedOn w:val="Normal"/>
    <w:next w:val="Normal"/>
    <w:link w:val="Heading3Char"/>
    <w:uiPriority w:val="9"/>
    <w:unhideWhenUsed/>
    <w:qFormat/>
    <w:rsid w:val="00FC693F"/>
    <w:pPr>
      <w:keepNext/>
      <w:keepLines/>
      <w:spacing w:before="200" w:after="60"/>
      <w:outlineLvl w:val="2"/>
    </w:pPr>
    <w:rPr>
      <w:rFonts w:asciiTheme="majorHAnsi" w:eastAsiaTheme="majorEastAsia" w:hAnsiTheme="majorHAnsi" w:cstheme="majorBidi" w:ascii="Calibri" w:hAnsi="Calibri"/>
      <w:b/>
      <w:bCs/>
      <w:color w:val="126E6E"/>
      <w:sz w:val="22"/>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