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21" w:name="X75a62a1154751a15416650ca255f548c6f45a22"/>
    <w:p>
      <w:pPr>
        <w:pStyle w:val="Heading1"/>
      </w:pPr>
      <w:r>
        <w:t xml:space="preserve">UAE Construction-Site Winter / Rain Readiness Dossier</w:t>
      </w:r>
    </w:p>
    <w:p>
      <w:pPr>
        <w:pStyle w:val="FirstParagraph"/>
      </w:pPr>
      <w:r>
        <w:rPr>
          <w:b/>
          <w:bCs/>
        </w:rPr>
        <w:t xml:space="preserve">Purpose.</w:t>
      </w:r>
      <w:r>
        <w:t xml:space="preserve"> </w:t>
      </w:r>
      <w:r>
        <w:t xml:space="preserve">A cross-emirate, source-led readiness dossier for construction sites operating during the usual November–March preparedness period and during unseasonal convective rain. It consolidates the supplied federal, emirate, technical, environmental and event research into a usable contractor reference. It is</w:t>
      </w:r>
      <w:r>
        <w:t xml:space="preserve"> </w:t>
      </w:r>
      <w:r>
        <w:rPr>
          <w:b/>
          <w:bCs/>
        </w:rPr>
        <w:t xml:space="preserve">not a substitute for current permits, approved designs, utility requirements, Civil Defence directions, manufacturer instructions or a project risk assessment</w:t>
      </w:r>
      <w:r>
        <w:t xml:space="preserve">.</w:t>
      </w:r>
    </w:p>
    <w:p>
      <w:pPr>
        <w:pStyle w:val="BodyText"/>
      </w:pPr>
      <w:r>
        <w:rPr>
          <w:b/>
          <w:bCs/>
        </w:rPr>
        <w:t xml:space="preserve">How to use it.</w:t>
      </w:r>
      <w:r>
        <w:t xml:space="preserve"> </w:t>
      </w:r>
      <w:r>
        <w:t xml:space="preserve">Apply the stricter of: (1) UAE federal/emirate/free-zone law and permit conditions; (2) approved drainage, geotechnical and temporary-works designs; (3) utility and Civil Defence requirements; and (4) manufacturer/lift-plan limits. The 126-point inventory is deliberately a</w:t>
      </w:r>
      <w:r>
        <w:t xml:space="preserve"> </w:t>
      </w:r>
      <w:r>
        <w:rPr>
          <w:b/>
          <w:bCs/>
        </w:rPr>
        <w:t xml:space="preserve">candidate</w:t>
      </w:r>
      <w:r>
        <w:t xml:space="preserve"> </w:t>
      </w:r>
      <w:r>
        <w:t xml:space="preserve">checklist: select, assign owners and integrate it into the project HSE, emergency, CEMP and temporary-works systems.</w:t>
      </w:r>
    </w:p>
    <w:p>
      <w:pPr>
        <w:pStyle w:val="BlockText"/>
      </w:pPr>
      <w:r>
        <w:rPr>
          <w:b/>
          <w:bCs/>
        </w:rPr>
        <w:t xml:space="preserve">Live-decision rule:</w:t>
      </w:r>
      <w:r>
        <w:t xml:space="preserve"> </w:t>
      </w:r>
      <w:r>
        <w:t xml:space="preserve">NCM is the technical forecast/warning source. NCEMA and competent local authorities issue emergency/public directions. Record the exact NCM hazard text, area and validity. Do</w:t>
      </w:r>
      <w:r>
        <w:t xml:space="preserve"> </w:t>
      </w:r>
      <w:r>
        <w:rPr>
          <w:b/>
          <w:bCs/>
        </w:rPr>
        <w:t xml:space="preserve">not</w:t>
      </w:r>
      <w:r>
        <w:t xml:space="preserve"> </w:t>
      </w:r>
      <w:r>
        <w:t xml:space="preserve">interpret a colour by itself as a construction work-permit.</w:t>
      </w:r>
    </w:p>
    <w:bookmarkStart w:id="10" w:name="X80ee1a492959bbcc25ce28f58f105232919b9ee"/>
    <w:p>
      <w:pPr>
        <w:pStyle w:val="Heading2"/>
      </w:pPr>
      <w:r>
        <w:t xml:space="preserve">1. Cross-emirate authority and online reference table</w:t>
      </w:r>
    </w:p>
    <w:tbl>
      <w:tblPr>
        <w:tblStyle w:val="Table"/>
        <w:tblW w:type="pct" w:w="5000"/>
        <w:tblLayout w:type="fixed"/>
        <w:tblLook w:firstRow="1" w:lastRow="0" w:firstColumn="0" w:lastColumn="0" w:noHBand="0" w:noVBand="0" w:val="0020"/>
      </w:tblPr>
      <w:tblGrid>
        <w:gridCol w:w="1131"/>
        <w:gridCol w:w="1131"/>
        <w:gridCol w:w="1131"/>
        <w:gridCol w:w="1131"/>
        <w:gridCol w:w="1131"/>
        <w:gridCol w:w="1131"/>
        <w:gridCol w:w="1131"/>
      </w:tblGrid>
      <w:tr>
        <w:trPr>
          <w:tblHeader w:val="on"/>
        </w:trPr>
        <w:tc>
          <w:tcPr/>
          <w:p>
            <w:pPr>
              <w:pStyle w:val="Compact"/>
            </w:pPr>
            <w:r>
              <w:t xml:space="preserve">Emirate</w:t>
            </w:r>
          </w:p>
        </w:tc>
        <w:tc>
          <w:tcPr/>
          <w:p>
            <w:pPr>
              <w:pStyle w:val="Compact"/>
            </w:pPr>
            <w:r>
              <w:t xml:space="preserve">Municipality / authority to notify</w:t>
            </w:r>
          </w:p>
        </w:tc>
        <w:tc>
          <w:tcPr/>
          <w:p>
            <w:pPr>
              <w:pStyle w:val="Compact"/>
            </w:pPr>
            <w:r>
              <w:t xml:space="preserve">Temporary power &amp; water regulator / utility</w:t>
            </w:r>
          </w:p>
        </w:tc>
        <w:tc>
          <w:tcPr/>
          <w:p>
            <w:pPr>
              <w:pStyle w:val="Compact"/>
            </w:pPr>
            <w:r>
              <w:t xml:space="preserve">Environmental regulator</w:t>
            </w:r>
          </w:p>
        </w:tc>
        <w:tc>
          <w:tcPr/>
          <w:p>
            <w:pPr>
              <w:pStyle w:val="Compact"/>
            </w:pPr>
            <w:r>
              <w:t xml:space="preserve">Civil Defence / emergency contact route</w:t>
            </w:r>
          </w:p>
        </w:tc>
        <w:tc>
          <w:tcPr/>
          <w:p>
            <w:pPr>
              <w:pStyle w:val="Compact"/>
            </w:pPr>
            <w:r>
              <w:t xml:space="preserve">Key local hazard</w:t>
            </w:r>
          </w:p>
        </w:tc>
        <w:tc>
          <w:tcPr/>
          <w:p>
            <w:pPr>
              <w:pStyle w:val="Compact"/>
            </w:pPr>
            <w:r>
              <w:t xml:space="preserve">Contractor cross-check / online reference</w:t>
            </w:r>
          </w:p>
        </w:tc>
      </w:tr>
      <w:tr>
        <w:tc>
          <w:tcPr/>
          <w:p>
            <w:pPr>
              <w:pStyle w:val="Compact"/>
            </w:pPr>
            <w:r>
              <w:rPr>
                <w:b/>
                <w:bCs/>
              </w:rPr>
              <w:t xml:space="preserve">Abu Dhabi</w:t>
            </w:r>
          </w:p>
        </w:tc>
        <w:tc>
          <w:tcPr/>
          <w:p>
            <w:pPr>
              <w:pStyle w:val="Compact"/>
            </w:pPr>
            <w:r>
              <w:t xml:space="preserve">DMT and relevant Abu Dhabi City / Al Ain / Al Dhafra Municipality; use DMT NOC route.</w:t>
            </w:r>
          </w:p>
        </w:tc>
        <w:tc>
          <w:tcPr/>
          <w:p>
            <w:pPr>
              <w:pStyle w:val="Compact"/>
            </w:pPr>
            <w:r>
              <w:rPr>
                <w:b/>
                <w:bCs/>
              </w:rPr>
              <w:t xml:space="preserve">Verify serving utility/asset owner through DMT NOC</w:t>
            </w:r>
            <w:r>
              <w:t xml:space="preserve">; ADOSH-SF controls temporary electrical safety.</w:t>
            </w:r>
          </w:p>
        </w:tc>
        <w:tc>
          <w:tcPr/>
          <w:p>
            <w:pPr>
              <w:pStyle w:val="Compact"/>
            </w:pPr>
            <w:r>
              <w:t xml:space="preserve">Environment Agency – Abu Dhabi (EAD).</w:t>
            </w:r>
          </w:p>
        </w:tc>
        <w:tc>
          <w:tcPr/>
          <w:p>
            <w:pPr>
              <w:pStyle w:val="Compact"/>
            </w:pPr>
            <w:r>
              <w:t xml:space="preserve">Follow competent emirate Civil Defence plus national emergency routes:</w:t>
            </w:r>
            <w:r>
              <w:t xml:space="preserve"> </w:t>
            </w:r>
            <w:r>
              <w:rPr>
                <w:b/>
                <w:bCs/>
              </w:rPr>
              <w:t xml:space="preserve">999 Police / 997 Civil Defence / 998 ambulance</w:t>
            </w:r>
            <w:r>
              <w:t xml:space="preserve">.</w:t>
            </w:r>
          </w:p>
        </w:tc>
        <w:tc>
          <w:tcPr/>
          <w:p>
            <w:pPr>
              <w:pStyle w:val="Compact"/>
            </w:pPr>
            <w:r>
              <w:t xml:space="preserve">Urban low points, excavations; Al Ain runoff; coastal/sabkha/mangrove receptors.</w:t>
            </w:r>
          </w:p>
        </w:tc>
        <w:tc>
          <w:tcPr/>
          <w:p>
            <w:pPr>
              <w:pStyle w:val="Compact"/>
            </w:pPr>
            <w:r>
              <w:t xml:space="preserve">DMT Infrastructure Guideline; ADOSH CoPs 15/26/29/34; EAD permit/receiver check.</w:t>
            </w:r>
          </w:p>
        </w:tc>
      </w:tr>
      <w:tr>
        <w:tc>
          <w:tcPr/>
          <w:p>
            <w:pPr>
              <w:pStyle w:val="Compact"/>
            </w:pPr>
            <w:r>
              <w:rPr>
                <w:b/>
                <w:bCs/>
              </w:rPr>
              <w:t xml:space="preserve">Dubai</w:t>
            </w:r>
          </w:p>
        </w:tc>
        <w:tc>
          <w:tcPr/>
          <w:p>
            <w:pPr>
              <w:pStyle w:val="Compact"/>
            </w:pPr>
            <w:r>
              <w:t xml:space="preserve">Dubai Municipality (DM); RTA for road interface; DDA or Trakhees/PCFC where jurisdiction applies.</w:t>
            </w:r>
          </w:p>
        </w:tc>
        <w:tc>
          <w:tcPr/>
          <w:p>
            <w:pPr>
              <w:pStyle w:val="Compact"/>
            </w:pPr>
            <w:r>
              <w:rPr>
                <w:b/>
                <w:bCs/>
              </w:rPr>
              <w:t xml:space="preserve">DEWA</w:t>
            </w:r>
            <w:r>
              <w:t xml:space="preserve">; use authority-approved temporary-power process.</w:t>
            </w:r>
          </w:p>
        </w:tc>
        <w:tc>
          <w:tcPr/>
          <w:p>
            <w:pPr>
              <w:pStyle w:val="Compact"/>
            </w:pPr>
            <w:r>
              <w:t xml:space="preserve">DM Environmental Sustainability Department; project EC/EIA/CECP conditions.</w:t>
            </w:r>
          </w:p>
        </w:tc>
        <w:tc>
          <w:tcPr/>
          <w:p>
            <w:pPr>
              <w:pStyle w:val="Compact"/>
            </w:pPr>
            <w:r>
              <w:t xml:space="preserve">Dubai Civil Defence;</w:t>
            </w:r>
            <w:r>
              <w:t xml:space="preserve"> </w:t>
            </w:r>
            <w:r>
              <w:rPr>
                <w:b/>
                <w:bCs/>
              </w:rPr>
              <w:t xml:space="preserve">997</w:t>
            </w:r>
            <w:r>
              <w:t xml:space="preserve"> </w:t>
            </w:r>
            <w:r>
              <w:t xml:space="preserve">Civil Defence,</w:t>
            </w:r>
            <w:r>
              <w:t xml:space="preserve"> </w:t>
            </w:r>
            <w:r>
              <w:rPr>
                <w:b/>
                <w:bCs/>
              </w:rPr>
              <w:t xml:space="preserve">999</w:t>
            </w:r>
            <w:r>
              <w:t xml:space="preserve"> </w:t>
            </w:r>
            <w:r>
              <w:t xml:space="preserve">Police,</w:t>
            </w:r>
            <w:r>
              <w:t xml:space="preserve"> </w:t>
            </w:r>
            <w:r>
              <w:rPr>
                <w:b/>
                <w:bCs/>
              </w:rPr>
              <w:t xml:space="preserve">998</w:t>
            </w:r>
            <w:r>
              <w:t xml:space="preserve"> </w:t>
            </w:r>
            <w:r>
              <w:t xml:space="preserve">ambulance.</w:t>
            </w:r>
          </w:p>
        </w:tc>
        <w:tc>
          <w:tcPr/>
          <w:p>
            <w:pPr>
              <w:pStyle w:val="Compact"/>
            </w:pPr>
            <w:r>
              <w:t xml:space="preserve">Basement ramps, shafts/lift pits, dense urban drainage and coastal/marine interfaces.</w:t>
            </w:r>
          </w:p>
        </w:tc>
        <w:tc>
          <w:tcPr/>
          <w:p>
            <w:pPr>
              <w:pStyle w:val="Compact"/>
            </w:pPr>
            <w:r>
              <w:t xml:space="preserve">DM stormwater/sewerage guidance; DDA Dewatering NOC; DEWA circulars; DCD Fire Code.</w:t>
            </w:r>
          </w:p>
        </w:tc>
      </w:tr>
      <w:tr>
        <w:tc>
          <w:tcPr/>
          <w:p>
            <w:pPr>
              <w:pStyle w:val="Compact"/>
            </w:pPr>
            <w:r>
              <w:rPr>
                <w:b/>
                <w:bCs/>
              </w:rPr>
              <w:t xml:space="preserve">Sharjah</w:t>
            </w:r>
          </w:p>
        </w:tc>
        <w:tc>
          <w:tcPr/>
          <w:p>
            <w:pPr>
              <w:pStyle w:val="Compact"/>
            </w:pPr>
            <w:r>
              <w:t xml:space="preserve">Sharjah City Municipality; verify successor planning/survey owner and free-zone jurisdiction. Municipal emergency</w:t>
            </w:r>
            <w:r>
              <w:t xml:space="preserve"> </w:t>
            </w:r>
            <w:r>
              <w:rPr>
                <w:b/>
                <w:bCs/>
              </w:rPr>
              <w:t xml:space="preserve">993</w:t>
            </w:r>
            <w:r>
              <w:t xml:space="preserve">.</w:t>
            </w:r>
          </w:p>
        </w:tc>
        <w:tc>
          <w:tcPr/>
          <w:p>
            <w:pPr>
              <w:pStyle w:val="Compact"/>
            </w:pPr>
            <w:r>
              <w:rPr>
                <w:b/>
                <w:bCs/>
              </w:rPr>
              <w:t xml:space="preserve">SEWA</w:t>
            </w:r>
            <w:r>
              <w:t xml:space="preserve">; emergency</w:t>
            </w:r>
            <w:r>
              <w:t xml:space="preserve"> </w:t>
            </w:r>
            <w:r>
              <w:rPr>
                <w:b/>
                <w:bCs/>
              </w:rPr>
              <w:t xml:space="preserve">991</w:t>
            </w:r>
            <w:r>
              <w:t xml:space="preserve">.</w:t>
            </w:r>
          </w:p>
        </w:tc>
        <w:tc>
          <w:tcPr/>
          <w:p>
            <w:pPr>
              <w:pStyle w:val="Compact"/>
            </w:pPr>
            <w:r>
              <w:t xml:space="preserve">EPAA; municipality environmental service; HFZA EHS in Hamriyah.</w:t>
            </w:r>
          </w:p>
        </w:tc>
        <w:tc>
          <w:tcPr/>
          <w:p>
            <w:pPr>
              <w:pStyle w:val="Compact"/>
            </w:pPr>
            <w:r>
              <w:t xml:space="preserve">Sharjah Civil Defence</w:t>
            </w:r>
            <w:r>
              <w:t xml:space="preserve"> </w:t>
            </w:r>
            <w:r>
              <w:rPr>
                <w:b/>
                <w:bCs/>
              </w:rPr>
              <w:t xml:space="preserve">997</w:t>
            </w:r>
            <w:r>
              <w:t xml:space="preserve">;</w:t>
            </w:r>
            <w:r>
              <w:t xml:space="preserve"> </w:t>
            </w:r>
            <w:r>
              <w:rPr>
                <w:b/>
                <w:bCs/>
              </w:rPr>
              <w:t xml:space="preserve">998</w:t>
            </w:r>
            <w:r>
              <w:t xml:space="preserve"> </w:t>
            </w:r>
            <w:r>
              <w:t xml:space="preserve">ambulance;</w:t>
            </w:r>
            <w:r>
              <w:t xml:space="preserve"> </w:t>
            </w:r>
            <w:r>
              <w:rPr>
                <w:b/>
                <w:bCs/>
              </w:rPr>
              <w:t xml:space="preserve">999</w:t>
            </w:r>
            <w:r>
              <w:t xml:space="preserve"> </w:t>
            </w:r>
            <w:r>
              <w:t xml:space="preserve">Police.</w:t>
            </w:r>
          </w:p>
        </w:tc>
        <w:tc>
          <w:tcPr/>
          <w:p>
            <w:pPr>
              <w:pStyle w:val="Compact"/>
            </w:pPr>
            <w:r>
              <w:t xml:space="preserve">Low points, industrial/coastal interface; project-specific public drainage acceptance.</w:t>
            </w:r>
          </w:p>
        </w:tc>
        <w:tc>
          <w:tcPr/>
          <w:p>
            <w:pPr>
              <w:pStyle w:val="Compact"/>
            </w:pPr>
            <w:r>
              <w:t xml:space="preserve">Municipality drainage e-service (technical conditions confirmed directly); SEWA; HFZA kit; EPAA permit route.</w:t>
            </w:r>
          </w:p>
        </w:tc>
      </w:tr>
      <w:tr>
        <w:tc>
          <w:tcPr/>
          <w:p>
            <w:pPr>
              <w:pStyle w:val="Compact"/>
            </w:pPr>
            <w:r>
              <w:rPr>
                <w:b/>
                <w:bCs/>
              </w:rPr>
              <w:t xml:space="preserve">Ajman</w:t>
            </w:r>
          </w:p>
        </w:tc>
        <w:tc>
          <w:tcPr/>
          <w:p>
            <w:pPr>
              <w:pStyle w:val="Compact"/>
            </w:pPr>
            <w:r>
              <w:t xml:space="preserve">Ajman Municipality &amp; Planning Department (MPDA); municipal/permit route.</w:t>
            </w:r>
          </w:p>
        </w:tc>
        <w:tc>
          <w:tcPr/>
          <w:p>
            <w:pPr>
              <w:pStyle w:val="Compact"/>
            </w:pPr>
            <w:r>
              <w:rPr>
                <w:b/>
                <w:bCs/>
              </w:rPr>
              <w:t xml:space="preserve">EtihadWE</w:t>
            </w:r>
            <w:r>
              <w:t xml:space="preserve"> </w:t>
            </w:r>
            <w:r>
              <w:t xml:space="preserve">temporary/new supply and faults;</w:t>
            </w:r>
            <w:r>
              <w:t xml:space="preserve"> </w:t>
            </w:r>
            <w:r>
              <w:rPr>
                <w:b/>
                <w:bCs/>
              </w:rPr>
              <w:t xml:space="preserve">991/992</w:t>
            </w:r>
            <w:r>
              <w:t xml:space="preserve">.</w:t>
            </w:r>
          </w:p>
        </w:tc>
        <w:tc>
          <w:tcPr/>
          <w:p>
            <w:pPr>
              <w:pStyle w:val="Compact"/>
            </w:pPr>
            <w:r>
              <w:t xml:space="preserve">MPDA/Ajman local environmental-permit route.</w:t>
            </w:r>
          </w:p>
        </w:tc>
        <w:tc>
          <w:tcPr/>
          <w:p>
            <w:pPr>
              <w:pStyle w:val="Compact"/>
            </w:pPr>
            <w:r>
              <w:rPr>
                <w:b/>
                <w:bCs/>
              </w:rPr>
              <w:t xml:space="preserve">997</w:t>
            </w:r>
            <w:r>
              <w:t xml:space="preserve"> </w:t>
            </w:r>
            <w:r>
              <w:t xml:space="preserve">Civil Defence;</w:t>
            </w:r>
            <w:r>
              <w:t xml:space="preserve"> </w:t>
            </w:r>
            <w:r>
              <w:rPr>
                <w:b/>
                <w:bCs/>
              </w:rPr>
              <w:t xml:space="preserve">998</w:t>
            </w:r>
            <w:r>
              <w:t xml:space="preserve"> </w:t>
            </w:r>
            <w:r>
              <w:t xml:space="preserve">ambulance;</w:t>
            </w:r>
            <w:r>
              <w:t xml:space="preserve"> </w:t>
            </w:r>
            <w:r>
              <w:rPr>
                <w:b/>
                <w:bCs/>
              </w:rPr>
              <w:t xml:space="preserve">999</w:t>
            </w:r>
            <w:r>
              <w:t xml:space="preserve"> </w:t>
            </w:r>
            <w:r>
              <w:t xml:space="preserve">Police; water</w:t>
            </w:r>
            <w:r>
              <w:t xml:space="preserve"> </w:t>
            </w:r>
            <w:r>
              <w:rPr>
                <w:b/>
                <w:bCs/>
              </w:rPr>
              <w:t xml:space="preserve">922</w:t>
            </w:r>
            <w:r>
              <w:t xml:space="preserve">; coast guard</w:t>
            </w:r>
            <w:r>
              <w:t xml:space="preserve"> </w:t>
            </w:r>
            <w:r>
              <w:rPr>
                <w:b/>
                <w:bCs/>
              </w:rPr>
              <w:t xml:space="preserve">996</w:t>
            </w:r>
            <w:r>
              <w:t xml:space="preserve">.</w:t>
            </w:r>
          </w:p>
        </w:tc>
        <w:tc>
          <w:tcPr/>
          <w:p>
            <w:pPr>
              <w:pStyle w:val="Compact"/>
            </w:pPr>
            <w:r>
              <w:t xml:space="preserve">Al Jurf waste/construction concentration; Corniche/coastal backwater and ponding.</w:t>
            </w:r>
          </w:p>
        </w:tc>
        <w:tc>
          <w:tcPr/>
          <w:p>
            <w:pPr>
              <w:pStyle w:val="Compact"/>
            </w:pPr>
            <w:r>
              <w:t xml:space="preserve">MPDA building/environmental services; EtihadWE; site level/drainage survey—no verified parcel flood capacity.</w:t>
            </w:r>
          </w:p>
        </w:tc>
      </w:tr>
      <w:tr>
        <w:tc>
          <w:tcPr/>
          <w:p>
            <w:pPr>
              <w:pStyle w:val="Compact"/>
            </w:pPr>
            <w:r>
              <w:rPr>
                <w:b/>
                <w:bCs/>
              </w:rPr>
              <w:t xml:space="preserve">Umm Al Quwain</w:t>
            </w:r>
          </w:p>
        </w:tc>
        <w:tc>
          <w:tcPr/>
          <w:p>
            <w:pPr>
              <w:pStyle w:val="Compact"/>
            </w:pPr>
            <w:r>
              <w:t xml:space="preserve">UAQ Municipality / Government service route; confirm direct route if catalogue is unavailable.</w:t>
            </w:r>
          </w:p>
        </w:tc>
        <w:tc>
          <w:tcPr/>
          <w:p>
            <w:pPr>
              <w:pStyle w:val="Compact"/>
            </w:pPr>
            <w:r>
              <w:rPr>
                <w:b/>
                <w:bCs/>
              </w:rPr>
              <w:t xml:space="preserve">EtihadWE</w:t>
            </w:r>
            <w:r>
              <w:t xml:space="preserve">,</w:t>
            </w:r>
            <w:r>
              <w:t xml:space="preserve"> </w:t>
            </w:r>
            <w:r>
              <w:rPr>
                <w:b/>
                <w:bCs/>
              </w:rPr>
              <w:t xml:space="preserve">800 3392</w:t>
            </w:r>
            <w:r>
              <w:t xml:space="preserve">; national electricity failure</w:t>
            </w:r>
            <w:r>
              <w:t xml:space="preserve"> </w:t>
            </w:r>
            <w:r>
              <w:rPr>
                <w:b/>
                <w:bCs/>
              </w:rPr>
              <w:t xml:space="preserve">991</w:t>
            </w:r>
            <w:r>
              <w:t xml:space="preserve">.</w:t>
            </w:r>
          </w:p>
        </w:tc>
        <w:tc>
          <w:tcPr/>
          <w:p>
            <w:pPr>
              <w:pStyle w:val="Compact"/>
            </w:pPr>
            <w:r>
              <w:t xml:space="preserve">Confirm competent local environmental authority; federal environmental law applies.</w:t>
            </w:r>
          </w:p>
        </w:tc>
        <w:tc>
          <w:tcPr/>
          <w:p>
            <w:pPr>
              <w:pStyle w:val="Compact"/>
            </w:pPr>
            <w:r>
              <w:rPr>
                <w:b/>
                <w:bCs/>
              </w:rPr>
              <w:t xml:space="preserve">999 / 997 / 998</w:t>
            </w:r>
            <w:r>
              <w:t xml:space="preserve">;</w:t>
            </w:r>
            <w:r>
              <w:t xml:space="preserve"> </w:t>
            </w:r>
            <w:r>
              <w:rPr>
                <w:b/>
                <w:bCs/>
              </w:rPr>
              <w:t xml:space="preserve">996</w:t>
            </w:r>
            <w:r>
              <w:t xml:space="preserve"> </w:t>
            </w:r>
            <w:r>
              <w:t xml:space="preserve">coastguard and</w:t>
            </w:r>
            <w:r>
              <w:t xml:space="preserve"> </w:t>
            </w:r>
            <w:r>
              <w:rPr>
                <w:b/>
                <w:bCs/>
              </w:rPr>
              <w:t xml:space="preserve">995</w:t>
            </w:r>
            <w:r>
              <w:t xml:space="preserve"> </w:t>
            </w:r>
            <w:r>
              <w:t xml:space="preserve">search/rescue as relevant.</w:t>
            </w:r>
          </w:p>
        </w:tc>
        <w:tc>
          <w:tcPr/>
          <w:p>
            <w:pPr>
              <w:pStyle w:val="Compact"/>
            </w:pPr>
            <w:r>
              <w:t xml:space="preserve">Coastal/tidal flow; mangroves and Al Sinniyah/Siniya sensitive habitat.</w:t>
            </w:r>
          </w:p>
        </w:tc>
        <w:tc>
          <w:tcPr/>
          <w:p>
            <w:pPr>
              <w:pStyle w:val="Compact"/>
            </w:pPr>
            <w:r>
              <w:t xml:space="preserve">UAQ catalogue/contact page; NCM; EtihadWE; written discharge/protected-area approval.</w:t>
            </w:r>
          </w:p>
        </w:tc>
      </w:tr>
      <w:tr>
        <w:tc>
          <w:tcPr/>
          <w:p>
            <w:pPr>
              <w:pStyle w:val="Compact"/>
            </w:pPr>
            <w:r>
              <w:rPr>
                <w:b/>
                <w:bCs/>
              </w:rPr>
              <w:t xml:space="preserve">Ras Al Khaimah</w:t>
            </w:r>
          </w:p>
        </w:tc>
        <w:tc>
          <w:tcPr/>
          <w:p>
            <w:pPr>
              <w:pStyle w:val="Compact"/>
            </w:pPr>
            <w:r>
              <w:t xml:space="preserve">RAK Municipality; Public Services Department (PSD) for waste/drainage interfaces; RAKEZ where applicable.</w:t>
            </w:r>
          </w:p>
        </w:tc>
        <w:tc>
          <w:tcPr/>
          <w:p>
            <w:pPr>
              <w:pStyle w:val="Compact"/>
            </w:pPr>
            <w:r>
              <w:rPr>
                <w:b/>
                <w:bCs/>
              </w:rPr>
              <w:t xml:space="preserve">EtihadWE</w:t>
            </w:r>
            <w:r>
              <w:t xml:space="preserve">; RAKEZ requires approval/certification where applicable.</w:t>
            </w:r>
          </w:p>
        </w:tc>
        <w:tc>
          <w:tcPr/>
          <w:p>
            <w:pPr>
              <w:pStyle w:val="Compact"/>
            </w:pPr>
            <w:r>
              <w:t xml:space="preserve">Environment Protection &amp; Development Authority (EPDA).</w:t>
            </w:r>
          </w:p>
        </w:tc>
        <w:tc>
          <w:tcPr/>
          <w:p>
            <w:pPr>
              <w:pStyle w:val="Compact"/>
            </w:pPr>
            <w:r>
              <w:t xml:space="preserve">National emergency route;</w:t>
            </w:r>
            <w:r>
              <w:t xml:space="preserve"> </w:t>
            </w:r>
            <w:r>
              <w:rPr>
                <w:b/>
                <w:bCs/>
              </w:rPr>
              <w:t xml:space="preserve">RAKEZ identifies calling RAK Civil Defence on 999</w:t>
            </w:r>
            <w:r>
              <w:t xml:space="preserve"> </w:t>
            </w:r>
            <w:r>
              <w:t xml:space="preserve">for spill/fire/gas emergency—also post 997.</w:t>
            </w:r>
          </w:p>
        </w:tc>
        <w:tc>
          <w:tcPr/>
          <w:p>
            <w:pPr>
              <w:pStyle w:val="Compact"/>
            </w:pPr>
            <w:r>
              <w:t xml:space="preserve">Wadi/valley-mouth flash floods, mountain runoff/debris, steep slopes; coastal areas.</w:t>
            </w:r>
          </w:p>
        </w:tc>
        <w:tc>
          <w:tcPr/>
          <w:p>
            <w:pPr>
              <w:pStyle w:val="Compact"/>
            </w:pPr>
            <w:r>
              <w:t xml:space="preserve">RAK structural regulations; Sustainable Community Guidelines; PSD; EPDA; RAKEZ HS&amp;E.</w:t>
            </w:r>
          </w:p>
        </w:tc>
      </w:tr>
      <w:tr>
        <w:tc>
          <w:tcPr/>
          <w:p>
            <w:pPr>
              <w:pStyle w:val="Compact"/>
            </w:pPr>
            <w:r>
              <w:rPr>
                <w:b/>
                <w:bCs/>
              </w:rPr>
              <w:t xml:space="preserve">Fujairah</w:t>
            </w:r>
          </w:p>
        </w:tc>
        <w:tc>
          <w:tcPr/>
          <w:p>
            <w:pPr>
              <w:pStyle w:val="Compact"/>
            </w:pPr>
            <w:r>
              <w:t xml:space="preserve">Fujairah Municipality; PWAD for road/culvert/rainwater infrastructure; Free Zone/Port where applicable.</w:t>
            </w:r>
          </w:p>
        </w:tc>
        <w:tc>
          <w:tcPr/>
          <w:p>
            <w:pPr>
              <w:pStyle w:val="Compact"/>
            </w:pPr>
            <w:r>
              <w:rPr>
                <w:b/>
                <w:bCs/>
              </w:rPr>
              <w:t xml:space="preserve">EtihadWE</w:t>
            </w:r>
            <w:r>
              <w:t xml:space="preserve">,</w:t>
            </w:r>
            <w:r>
              <w:t xml:space="preserve"> </w:t>
            </w:r>
            <w:r>
              <w:rPr>
                <w:b/>
                <w:bCs/>
              </w:rPr>
              <w:t xml:space="preserve">800 3392</w:t>
            </w:r>
            <w:r>
              <w:t xml:space="preserve">; NOC/drawing/connection process.</w:t>
            </w:r>
          </w:p>
        </w:tc>
        <w:tc>
          <w:tcPr/>
          <w:p>
            <w:pPr>
              <w:pStyle w:val="Compact"/>
            </w:pPr>
            <w:r>
              <w:t xml:space="preserve">Fujairah Environment Authority (FEA).</w:t>
            </w:r>
          </w:p>
        </w:tc>
        <w:tc>
          <w:tcPr/>
          <w:p>
            <w:pPr>
              <w:pStyle w:val="Compact"/>
            </w:pPr>
            <w:r>
              <w:rPr>
                <w:b/>
                <w:bCs/>
              </w:rPr>
              <w:t xml:space="preserve">999</w:t>
            </w:r>
            <w:r>
              <w:t xml:space="preserve"> </w:t>
            </w:r>
            <w:r>
              <w:t xml:space="preserve">Police,</w:t>
            </w:r>
            <w:r>
              <w:t xml:space="preserve"> </w:t>
            </w:r>
            <w:r>
              <w:rPr>
                <w:b/>
                <w:bCs/>
              </w:rPr>
              <w:t xml:space="preserve">997</w:t>
            </w:r>
            <w:r>
              <w:t xml:space="preserve"> </w:t>
            </w:r>
            <w:r>
              <w:t xml:space="preserve">Civil Defence,</w:t>
            </w:r>
            <w:r>
              <w:t xml:space="preserve"> </w:t>
            </w:r>
            <w:r>
              <w:rPr>
                <w:b/>
                <w:bCs/>
              </w:rPr>
              <w:t xml:space="preserve">998</w:t>
            </w:r>
            <w:r>
              <w:t xml:space="preserve"> </w:t>
            </w:r>
            <w:r>
              <w:t xml:space="preserve">ambulance,</w:t>
            </w:r>
            <w:r>
              <w:t xml:space="preserve"> </w:t>
            </w:r>
            <w:r>
              <w:rPr>
                <w:b/>
                <w:bCs/>
              </w:rPr>
              <w:t xml:space="preserve">996</w:t>
            </w:r>
            <w:r>
              <w:t xml:space="preserve"> </w:t>
            </w:r>
            <w:r>
              <w:t xml:space="preserve">coastguard,</w:t>
            </w:r>
            <w:r>
              <w:t xml:space="preserve"> </w:t>
            </w:r>
            <w:r>
              <w:rPr>
                <w:b/>
                <w:bCs/>
              </w:rPr>
              <w:t xml:space="preserve">995</w:t>
            </w:r>
            <w:r>
              <w:t xml:space="preserve"> </w:t>
            </w:r>
            <w:r>
              <w:t xml:space="preserve">search/rescue.</w:t>
            </w:r>
          </w:p>
        </w:tc>
        <w:tc>
          <w:tcPr/>
          <w:p>
            <w:pPr>
              <w:pStyle w:val="Compact"/>
            </w:pPr>
            <w:r>
              <w:t xml:space="preserve">Hajar wadi flash flows, narrow coastal plain/backflow, port/marine weather.</w:t>
            </w:r>
          </w:p>
        </w:tc>
        <w:tc>
          <w:tcPr/>
          <w:p>
            <w:pPr>
              <w:pStyle w:val="Compact"/>
            </w:pPr>
            <w:r>
              <w:t xml:space="preserve">NCM Fujairah radar/bulletins; PWAD; FEA; Port/Free Zone permits and limits.</w:t>
            </w:r>
          </w:p>
        </w:tc>
      </w:tr>
    </w:tbl>
    <w:bookmarkStart w:id="9" w:name="common-emergency-and-jurisdiction-notes"/>
    <w:p>
      <w:pPr>
        <w:pStyle w:val="Heading3"/>
      </w:pPr>
      <w:r>
        <w:t xml:space="preserve">Common emergency and jurisdiction notes</w:t>
      </w:r>
    </w:p>
    <w:p>
      <w:pPr>
        <w:pStyle w:val="Compact"/>
        <w:numPr>
          <w:ilvl w:val="0"/>
          <w:numId w:val="1001"/>
        </w:numPr>
      </w:pPr>
      <w:r>
        <w:t xml:space="preserve">National routes listed in UAE official guidance are</w:t>
      </w:r>
      <w:r>
        <w:t xml:space="preserve"> </w:t>
      </w:r>
      <w:r>
        <w:rPr>
          <w:b/>
          <w:bCs/>
        </w:rPr>
        <w:t xml:space="preserve">999 Police</w:t>
      </w:r>
      <w:r>
        <w:t xml:space="preserve">,</w:t>
      </w:r>
      <w:r>
        <w:t xml:space="preserve"> </w:t>
      </w:r>
      <w:r>
        <w:rPr>
          <w:b/>
          <w:bCs/>
        </w:rPr>
        <w:t xml:space="preserve">997 Civil Defence</w:t>
      </w:r>
      <w:r>
        <w:t xml:space="preserve">,</w:t>
      </w:r>
      <w:r>
        <w:t xml:space="preserve"> </w:t>
      </w:r>
      <w:r>
        <w:rPr>
          <w:b/>
          <w:bCs/>
        </w:rPr>
        <w:t xml:space="preserve">998 ambulance</w:t>
      </w:r>
      <w:r>
        <w:t xml:space="preserve">,</w:t>
      </w:r>
      <w:r>
        <w:t xml:space="preserve"> </w:t>
      </w:r>
      <w:r>
        <w:rPr>
          <w:b/>
          <w:bCs/>
        </w:rPr>
        <w:t xml:space="preserve">996 coastguard</w:t>
      </w:r>
      <w:r>
        <w:t xml:space="preserve">,</w:t>
      </w:r>
      <w:r>
        <w:t xml:space="preserve"> </w:t>
      </w:r>
      <w:r>
        <w:rPr>
          <w:b/>
          <w:bCs/>
        </w:rPr>
        <w:t xml:space="preserve">995 search and rescue</w:t>
      </w:r>
      <w:r>
        <w:t xml:space="preserve">, and</w:t>
      </w:r>
      <w:r>
        <w:t xml:space="preserve"> </w:t>
      </w:r>
      <w:r>
        <w:rPr>
          <w:b/>
          <w:bCs/>
        </w:rPr>
        <w:t xml:space="preserve">991 electricity failure</w:t>
      </w:r>
      <w:r>
        <w:t xml:space="preserve">. Local municipality/utility numbers in the table supplement—not replace—life-safety calls. [F12]</w:t>
      </w:r>
    </w:p>
    <w:p>
      <w:pPr>
        <w:pStyle w:val="Compact"/>
        <w:numPr>
          <w:ilvl w:val="0"/>
          <w:numId w:val="1001"/>
        </w:numPr>
      </w:pPr>
      <w:r>
        <w:rPr>
          <w:b/>
          <w:bCs/>
        </w:rPr>
        <w:t xml:space="preserve">Do not assume jurisdiction.</w:t>
      </w:r>
      <w:r>
        <w:t xml:space="preserve"> </w:t>
      </w:r>
      <w:r>
        <w:t xml:space="preserve">Free zones and special areas can have separate permits: e.g., PCFC/Trakhees and DDA in Dubai, HFZA/SAIF in Sharjah, RAKEZ in RAK, Fujairah Free Zone and Port of Fujairah. Confirm the approval owner at mobilisation. [DB3; DB4; SH5; RK6; FU6; FU7]</w:t>
      </w:r>
    </w:p>
    <w:p>
      <w:pPr>
        <w:pStyle w:val="Compact"/>
        <w:numPr>
          <w:ilvl w:val="0"/>
          <w:numId w:val="1001"/>
        </w:numPr>
      </w:pPr>
      <w:r>
        <w:t xml:space="preserve">All sites should monitor NCM and NCEMA. Emirate roads, drainage, Civil Defence and environmental authorities may issue more operational directions than federal pages. [F1; F2; F5]</w:t>
      </w:r>
    </w:p>
    <w:bookmarkEnd w:id="9"/>
    <w:bookmarkEnd w:id="10"/>
    <w:bookmarkStart w:id="12" w:name="X991fb04c72006188342fb83347aeded635e53db"/>
    <w:p>
      <w:pPr>
        <w:pStyle w:val="Heading2"/>
      </w:pPr>
      <w:r>
        <w:t xml:space="preserve">2. Key UAE obligations, thresholds and reporting duties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Topic</w:t>
            </w:r>
          </w:p>
        </w:tc>
        <w:tc>
          <w:tcPr/>
          <w:p>
            <w:pPr>
              <w:pStyle w:val="Compact"/>
            </w:pPr>
            <w:r>
              <w:t xml:space="preserve">Verified requirement / threshold</w:t>
            </w:r>
          </w:p>
        </w:tc>
        <w:tc>
          <w:tcPr/>
          <w:p>
            <w:pPr>
              <w:pStyle w:val="Compact"/>
            </w:pPr>
            <w:r>
              <w:t xml:space="preserve">Required practical action</w:t>
            </w:r>
          </w:p>
        </w:tc>
        <w:tc>
          <w:tcPr/>
          <w:p>
            <w:pPr>
              <w:pStyle w:val="Compact"/>
            </w:pPr>
            <w:r>
              <w:t xml:space="preserve">Source</w:t>
            </w:r>
          </w:p>
        </w:tc>
      </w:tr>
      <w:tr>
        <w:tc>
          <w:tcPr/>
          <w:p>
            <w:pPr>
              <w:pStyle w:val="Compact"/>
            </w:pPr>
            <w:r>
              <w:t xml:space="preserve">Weather warnings</w:t>
            </w:r>
          </w:p>
        </w:tc>
        <w:tc>
          <w:tcPr/>
          <w:p>
            <w:pPr>
              <w:pStyle w:val="Compact"/>
            </w:pPr>
            <w:r>
              <w:t xml:space="preserve">NCM warning colours are displayed, but no current primary NCM English construction-specific yellow/orange/red definitions were verified.</w:t>
            </w:r>
          </w:p>
        </w:tc>
        <w:tc>
          <w:tcPr/>
          <w:p>
            <w:pPr>
              <w:pStyle w:val="Compact"/>
            </w:pPr>
            <w:r>
              <w:t xml:space="preserve">Record exact NCM text, area, validity and update; use a project matrix rather than inventing official colour thresholds.</w:t>
            </w:r>
          </w:p>
        </w:tc>
        <w:tc>
          <w:tcPr/>
          <w:p>
            <w:pPr>
              <w:pStyle w:val="Compact"/>
            </w:pPr>
            <w:r>
              <w:t xml:space="preserve">[F1]</w:t>
            </w:r>
          </w:p>
        </w:tc>
      </w:tr>
      <w:tr>
        <w:tc>
          <w:tcPr/>
          <w:p>
            <w:pPr>
              <w:pStyle w:val="Compact"/>
            </w:pPr>
            <w:r>
              <w:t xml:space="preserve">Exceptional weather and attendance</w:t>
            </w:r>
          </w:p>
        </w:tc>
        <w:tc>
          <w:tcPr/>
          <w:p>
            <w:pPr>
              <w:pStyle w:val="Compact"/>
            </w:pPr>
            <w:r>
              <w:t xml:space="preserve">MOHRE urges necessary OSH measures, remote work where feasible and compliance with local directions. Cabinet Resolution No. 1 of 2022, Art. 15 treats qualifying weather/NCM-warning transit delay as working time.</w:t>
            </w:r>
          </w:p>
        </w:tc>
        <w:tc>
          <w:tcPr/>
          <w:p>
            <w:pPr>
              <w:pStyle w:val="Compact"/>
            </w:pPr>
            <w:r>
              <w:t xml:space="preserve">Do not pressure unsafe travel; document alert, task decision and qualifying delay.</w:t>
            </w:r>
          </w:p>
        </w:tc>
        <w:tc>
          <w:tcPr/>
          <w:p>
            <w:pPr>
              <w:pStyle w:val="Compact"/>
            </w:pPr>
            <w:r>
              <w:t xml:space="preserve">[F6; F7]</w:t>
            </w:r>
          </w:p>
        </w:tc>
      </w:tr>
      <w:tr>
        <w:tc>
          <w:tcPr/>
          <w:p>
            <w:pPr>
              <w:pStyle w:val="Compact"/>
            </w:pPr>
            <w:r>
              <w:t xml:space="preserve">Civil Defence / emergency plans</w:t>
            </w:r>
          </w:p>
        </w:tc>
        <w:tc>
          <w:tcPr/>
          <w:p>
            <w:pPr>
              <w:pStyle w:val="Compact"/>
            </w:pPr>
            <w:r>
              <w:t xml:space="preserve">The Civil Defence Authority sits within NCEMA; local competent Civil Defence remains operational authority in the emirate.</w:t>
            </w:r>
          </w:p>
        </w:tc>
        <w:tc>
          <w:tcPr/>
          <w:p>
            <w:pPr>
              <w:pStyle w:val="Compact"/>
            </w:pPr>
            <w:r>
              <w:t xml:space="preserve">Maintain site risk/evacuation arrangements and obey local emergency/restart directions.</w:t>
            </w:r>
          </w:p>
        </w:tc>
        <w:tc>
          <w:tcPr/>
          <w:p>
            <w:pPr>
              <w:pStyle w:val="Compact"/>
            </w:pPr>
            <w:r>
              <w:t xml:space="preserve">[F5]</w:t>
            </w:r>
          </w:p>
        </w:tc>
      </w:tr>
      <w:tr>
        <w:tc>
          <w:tcPr/>
          <w:p>
            <w:pPr>
              <w:pStyle w:val="Compact"/>
            </w:pPr>
            <w:r>
              <w:t xml:space="preserve">Federal pollution</w:t>
            </w:r>
          </w:p>
        </w:tc>
        <w:tc>
          <w:tcPr/>
          <w:p>
            <w:pPr>
              <w:pStyle w:val="Compact"/>
            </w:pPr>
            <w:r>
              <w:t xml:space="preserve">Untreated substances, wastes or liquids that may pollute water are prohibited; hazardous substances/reserves have additional controls.</w:t>
            </w:r>
          </w:p>
        </w:tc>
        <w:tc>
          <w:tcPr/>
          <w:p>
            <w:pPr>
              <w:pStyle w:val="Compact"/>
            </w:pPr>
            <w:r>
              <w:t xml:space="preserve">Keep silt, fuel, chemicals, concrete washout, sewage and waste out of drains/receiving waters; obtain local consent.</w:t>
            </w:r>
          </w:p>
        </w:tc>
        <w:tc>
          <w:tcPr/>
          <w:p>
            <w:pPr>
              <w:pStyle w:val="Compact"/>
            </w:pPr>
            <w:r>
              <w:t xml:space="preserve">[F9]</w:t>
            </w:r>
          </w:p>
        </w:tc>
      </w:tr>
      <w:tr>
        <w:tc>
          <w:tcPr/>
          <w:p>
            <w:pPr>
              <w:pStyle w:val="Compact"/>
            </w:pPr>
            <w:r>
              <w:t xml:space="preserve">Federal waste</w:t>
            </w:r>
          </w:p>
        </w:tc>
        <w:tc>
          <w:tcPr/>
          <w:p>
            <w:pPr>
              <w:pStyle w:val="Compact"/>
            </w:pPr>
            <w:r>
              <w:t xml:space="preserve">Disposal in open areas, roads and waterways is prohibited; C&amp;D waste requires segregation/transport to a waste facility; polluter can bear restoration costs.</w:t>
            </w:r>
          </w:p>
        </w:tc>
        <w:tc>
          <w:tcPr/>
          <w:p>
            <w:pPr>
              <w:pStyle w:val="Compact"/>
            </w:pPr>
            <w:r>
              <w:t xml:space="preserve">Segregate waste, use licensed routes, retain manifests and plan lawful post-event cleanup.</w:t>
            </w:r>
          </w:p>
        </w:tc>
        <w:tc>
          <w:tcPr/>
          <w:p>
            <w:pPr>
              <w:pStyle w:val="Compact"/>
            </w:pPr>
            <w:r>
              <w:t xml:space="preserve">[F11]</w:t>
            </w:r>
          </w:p>
        </w:tc>
      </w:tr>
      <w:tr>
        <w:tc>
          <w:tcPr/>
          <w:p>
            <w:pPr>
              <w:pStyle w:val="Compact"/>
            </w:pPr>
            <w:r>
              <w:t xml:space="preserve">Abu Dhabi NOCs / drainage</w:t>
            </w:r>
          </w:p>
        </w:tc>
        <w:tc>
          <w:tcPr/>
          <w:p>
            <w:pPr>
              <w:pStyle w:val="Compact"/>
            </w:pPr>
            <w:r>
              <w:t xml:space="preserve">NOCs are compulsory prerequisites where applicable; approved DMT stormwater documents govern system interfaces.</w:t>
            </w:r>
          </w:p>
        </w:tc>
        <w:tc>
          <w:tcPr/>
          <w:p>
            <w:pPr>
              <w:pStyle w:val="Compact"/>
            </w:pPr>
            <w:r>
              <w:t xml:space="preserve">Retain/renew DMT, utility, drainage and environmental NOCs; no unapproved tie-in or pumping.</w:t>
            </w:r>
          </w:p>
        </w:tc>
        <w:tc>
          <w:tcPr/>
          <w:p>
            <w:pPr>
              <w:pStyle w:val="Compact"/>
            </w:pPr>
            <w:r>
              <w:t xml:space="preserve">[AD1]</w:t>
            </w:r>
          </w:p>
        </w:tc>
      </w:tr>
      <w:tr>
        <w:tc>
          <w:tcPr/>
          <w:p>
            <w:pPr>
              <w:pStyle w:val="Compact"/>
            </w:pPr>
            <w:r>
              <w:t xml:space="preserve">Abu Dhabi excavation discharge</w:t>
            </w:r>
          </w:p>
        </w:tc>
        <w:tc>
          <w:tcPr/>
          <w:p>
            <w:pPr>
              <w:pStyle w:val="Compact"/>
            </w:pPr>
            <w:r>
              <w:t xml:space="preserve">Dirty/silty pumped water must not be pumped directly to drains; inspection before/each shift, weekly and after collapse/damage is required.</w:t>
            </w:r>
          </w:p>
        </w:tc>
        <w:tc>
          <w:tcPr/>
          <w:p>
            <w:pPr>
              <w:pStyle w:val="Compact"/>
            </w:pPr>
            <w:r>
              <w:t xml:space="preserve">Use treatment/approved disposal; barricade and obtain competent reinspection after rain.</w:t>
            </w:r>
          </w:p>
        </w:tc>
        <w:tc>
          <w:tcPr/>
          <w:p>
            <w:pPr>
              <w:pStyle w:val="Compact"/>
            </w:pPr>
            <w:r>
              <w:t xml:space="preserve">[AD3]</w:t>
            </w:r>
          </w:p>
        </w:tc>
      </w:tr>
      <w:tr>
        <w:tc>
          <w:tcPr/>
          <w:p>
            <w:pPr>
              <w:pStyle w:val="Compact"/>
            </w:pPr>
            <w:r>
              <w:t xml:space="preserve">Abu Dhabi temporary power</w:t>
            </w:r>
          </w:p>
        </w:tc>
        <w:tc>
          <w:tcPr/>
          <w:p>
            <w:pPr>
              <w:pStyle w:val="Compact"/>
            </w:pPr>
            <w:r>
              <w:t xml:space="preserve">Construction temporary supplies are 110 V and construction receptacles require residual-current protection so far as reasonably practicable.</w:t>
            </w:r>
          </w:p>
        </w:tc>
        <w:tc>
          <w:tcPr/>
          <w:p>
            <w:pPr>
              <w:pStyle w:val="Compact"/>
            </w:pPr>
            <w:r>
              <w:t xml:space="preserve">Apply ADOSH CoP 15 in Abu Dhabi; elevate, protect, isolate and test water-affected systems.</w:t>
            </w:r>
          </w:p>
        </w:tc>
        <w:tc>
          <w:tcPr/>
          <w:p>
            <w:pPr>
              <w:pStyle w:val="Compact"/>
            </w:pPr>
            <w:r>
              <w:t xml:space="preserve">[AD4]</w:t>
            </w:r>
          </w:p>
        </w:tc>
      </w:tr>
      <w:tr>
        <w:tc>
          <w:tcPr/>
          <w:p>
            <w:pPr>
              <w:pStyle w:val="Compact"/>
            </w:pPr>
            <w:r>
              <w:t xml:space="preserve">Abu Dhabi lifting wind</w:t>
            </w:r>
          </w:p>
        </w:tc>
        <w:tc>
          <w:tcPr/>
          <w:p>
            <w:pPr>
              <w:pStyle w:val="Compact"/>
            </w:pPr>
            <w:r>
              <w:t xml:space="preserve">ADOSH CoP 34.0: anemometers, daily meteorological reports, manufacturer wind-off limits; cease lifting at recorded wind speed or gusts</w:t>
            </w:r>
            <w:r>
              <w:t xml:space="preserve"> </w:t>
            </w:r>
            <w:r>
              <w:rPr>
                <w:b/>
                <w:bCs/>
              </w:rPr>
              <w:t xml:space="preserve">&gt;38 km/h (20.5 kn)</w:t>
            </w:r>
            <w:r>
              <w:t xml:space="preserve">.</w:t>
            </w:r>
          </w:p>
        </w:tc>
        <w:tc>
          <w:tcPr/>
          <w:p>
            <w:pPr>
              <w:pStyle w:val="Compact"/>
            </w:pPr>
            <w:r>
              <w:t xml:space="preserve">Make the lower of CoP/manufacturer/lift-plan limit controlling; inspect ground and crane after rain.</w:t>
            </w:r>
          </w:p>
        </w:tc>
        <w:tc>
          <w:tcPr/>
          <w:p>
            <w:pPr>
              <w:pStyle w:val="Compact"/>
            </w:pPr>
            <w:r>
              <w:t xml:space="preserve">[AD6]</w:t>
            </w:r>
          </w:p>
        </w:tc>
      </w:tr>
      <w:tr>
        <w:tc>
          <w:tcPr/>
          <w:p>
            <w:pPr>
              <w:pStyle w:val="Compact"/>
            </w:pPr>
            <w:r>
              <w:t xml:space="preserve">Abu Dhabi scaffolds</w:t>
            </w:r>
          </w:p>
        </w:tc>
        <w:tc>
          <w:tcPr/>
          <w:p>
            <w:pPr>
              <w:pStyle w:val="Compact"/>
            </w:pPr>
            <w:r>
              <w:t xml:space="preserve">Inspect before first use, at least every seven days, after alteration/repair and after stability-affecting wind/storm events.</w:t>
            </w:r>
          </w:p>
        </w:tc>
        <w:tc>
          <w:tcPr/>
          <w:p>
            <w:pPr>
              <w:pStyle w:val="Compact"/>
            </w:pPr>
            <w:r>
              <w:t xml:space="preserve">Stop on unsafe wet/windy surfaces; record competent post-event release.</w:t>
            </w:r>
          </w:p>
        </w:tc>
        <w:tc>
          <w:tcPr/>
          <w:p>
            <w:pPr>
              <w:pStyle w:val="Compact"/>
            </w:pPr>
            <w:r>
              <w:t xml:space="preserve">[AD5]</w:t>
            </w:r>
          </w:p>
        </w:tc>
      </w:tr>
      <w:tr>
        <w:tc>
          <w:tcPr/>
          <w:p>
            <w:pPr>
              <w:pStyle w:val="Compact"/>
            </w:pPr>
            <w:r>
              <w:t xml:space="preserve">Dubai dewatering</w:t>
            </w:r>
          </w:p>
        </w:tc>
        <w:tc>
          <w:tcPr/>
          <w:p>
            <w:pPr>
              <w:pStyle w:val="Compact"/>
            </w:pPr>
            <w:r>
              <w:t xml:space="preserve">Local Order No. 8/2002 Art. 27: construction/excavation water may not enter rainwater network without a written permit controlling pumps, pipes, points and sedimentation tank.</w:t>
            </w:r>
          </w:p>
        </w:tc>
        <w:tc>
          <w:tcPr/>
          <w:p>
            <w:pPr>
              <w:pStyle w:val="Compact"/>
            </w:pPr>
            <w:r>
              <w:t xml:space="preserve">Keep permit at site; match installed pump/pipe/point/tank to the approval.</w:t>
            </w:r>
          </w:p>
        </w:tc>
        <w:tc>
          <w:tcPr/>
          <w:p>
            <w:pPr>
              <w:pStyle w:val="Compact"/>
            </w:pPr>
            <w:r>
              <w:t xml:space="preserve">[EN1]</w:t>
            </w:r>
          </w:p>
        </w:tc>
      </w:tr>
      <w:tr>
        <w:tc>
          <w:tcPr/>
          <w:p>
            <w:pPr>
              <w:pStyle w:val="Compact"/>
            </w:pPr>
            <w:r>
              <w:t xml:space="preserve">Dubai discharge safeguards</w:t>
            </w:r>
          </w:p>
        </w:tc>
        <w:tc>
          <w:tcPr/>
          <w:p>
            <w:pPr>
              <w:pStyle w:val="Compact"/>
            </w:pPr>
            <w:r>
              <w:t xml:space="preserve">Art. 28 requires sand traps, secure pipes, oil-absorbent protection under pumps, supervision, fencing and safety measures; Art. 29 requires suspension for basin leakage/infiltration.</w:t>
            </w:r>
          </w:p>
        </w:tc>
        <w:tc>
          <w:tcPr/>
          <w:p>
            <w:pPr>
              <w:pStyle w:val="Compact"/>
            </w:pPr>
            <w:r>
              <w:t xml:space="preserve">Monitor discharge and stop/investigate leakage; reinstate after removal under Art. 30.</w:t>
            </w:r>
          </w:p>
        </w:tc>
        <w:tc>
          <w:tcPr/>
          <w:p>
            <w:pPr>
              <w:pStyle w:val="Compact"/>
            </w:pPr>
            <w:r>
              <w:t xml:space="preserve">[EN1]</w:t>
            </w:r>
          </w:p>
        </w:tc>
      </w:tr>
      <w:tr>
        <w:tc>
          <w:tcPr/>
          <w:p>
            <w:pPr>
              <w:pStyle w:val="Compact"/>
            </w:pPr>
            <w:r>
              <w:t xml:space="preserve">Dubai environmental records</w:t>
            </w:r>
          </w:p>
        </w:tc>
        <w:tc>
          <w:tcPr/>
          <w:p>
            <w:pPr>
              <w:pStyle w:val="Compact"/>
            </w:pPr>
            <w:r>
              <w:t xml:space="preserve">Environmental clearance may require EC/EIA/CECP, monitoring and records; main contractor/environment consultant records are retained five years after EC issuance.</w:t>
            </w:r>
          </w:p>
        </w:tc>
        <w:tc>
          <w:tcPr/>
          <w:p>
            <w:pPr>
              <w:pStyle w:val="Compact"/>
            </w:pPr>
            <w:r>
              <w:t xml:space="preserve">Maintain approved plan, sampling, waste, incident and monitoring records.</w:t>
            </w:r>
          </w:p>
        </w:tc>
        <w:tc>
          <w:tcPr/>
          <w:p>
            <w:pPr>
              <w:pStyle w:val="Compact"/>
            </w:pPr>
            <w:r>
              <w:t xml:space="preserve">[DB2]</w:t>
            </w:r>
          </w:p>
        </w:tc>
      </w:tr>
      <w:tr>
        <w:tc>
          <w:tcPr/>
          <w:p>
            <w:pPr>
              <w:pStyle w:val="Compact"/>
            </w:pPr>
            <w:r>
              <w:t xml:space="preserve">Dubai temporary electrical recovery</w:t>
            </w:r>
          </w:p>
        </w:tc>
        <w:tc>
          <w:tcPr/>
          <w:p>
            <w:pPr>
              <w:pStyle w:val="Compact"/>
            </w:pPr>
            <w:r>
              <w:t xml:space="preserve">DEWA guidance requires water-entry prevention and post-rain inspection; drying is not a return-to-service test.</w:t>
            </w:r>
          </w:p>
        </w:tc>
        <w:tc>
          <w:tcPr/>
          <w:p>
            <w:pPr>
              <w:pStyle w:val="Compact"/>
            </w:pPr>
            <w:r>
              <w:t xml:space="preserve">Isolate/lock/tag/prove dead; qualified electrician records insulation, earthing, enclosure and downstream checks before energisation.</w:t>
            </w:r>
          </w:p>
        </w:tc>
        <w:tc>
          <w:tcPr/>
          <w:p>
            <w:pPr>
              <w:pStyle w:val="Compact"/>
            </w:pPr>
            <w:r>
              <w:t xml:space="preserve">[DB5; DB6]</w:t>
            </w:r>
          </w:p>
        </w:tc>
      </w:tr>
      <w:tr>
        <w:tc>
          <w:tcPr/>
          <w:p>
            <w:pPr>
              <w:pStyle w:val="Compact"/>
            </w:pPr>
            <w:r>
              <w:t xml:space="preserve">RAK excavation / groundwater</w:t>
            </w:r>
          </w:p>
        </w:tc>
        <w:tc>
          <w:tcPr/>
          <w:p>
            <w:pPr>
              <w:pStyle w:val="Compact"/>
            </w:pPr>
            <w:r>
              <w:t xml:space="preserve">Open cuts must follow soil report and not exceed</w:t>
            </w:r>
            <w:r>
              <w:t xml:space="preserve"> </w:t>
            </w:r>
            <w:r>
              <w:rPr>
                <w:b/>
                <w:bCs/>
              </w:rPr>
              <w:t xml:space="preserve">30°</w:t>
            </w:r>
            <w:r>
              <w:t xml:space="preserve">; groundwater should be lowered at least</w:t>
            </w:r>
            <w:r>
              <w:t xml:space="preserve"> </w:t>
            </w:r>
            <w:r>
              <w:rPr>
                <w:b/>
                <w:bCs/>
              </w:rPr>
              <w:t xml:space="preserve">1 m</w:t>
            </w:r>
            <w:r>
              <w:t xml:space="preserve"> </w:t>
            </w:r>
            <w:r>
              <w:t xml:space="preserve">below target formation when above it.</w:t>
            </w:r>
          </w:p>
        </w:tc>
        <w:tc>
          <w:tcPr/>
          <w:p>
            <w:pPr>
              <w:pStyle w:val="Compact"/>
            </w:pPr>
            <w:r>
              <w:t xml:space="preserve">Put these conditions in the design/permit and retain post-rain slope/dewatering release.</w:t>
            </w:r>
          </w:p>
        </w:tc>
        <w:tc>
          <w:tcPr/>
          <w:p>
            <w:pPr>
              <w:pStyle w:val="Compact"/>
            </w:pPr>
            <w:r>
              <w:t xml:space="preserve">[RK3]</w:t>
            </w:r>
          </w:p>
        </w:tc>
      </w:tr>
      <w:tr>
        <w:tc>
          <w:tcPr/>
          <w:p>
            <w:pPr>
              <w:pStyle w:val="Compact"/>
            </w:pPr>
            <w:r>
              <w:t xml:space="preserve">RAK permit / environmental scope</w:t>
            </w:r>
          </w:p>
        </w:tc>
        <w:tc>
          <w:tcPr/>
          <w:p>
            <w:pPr>
              <w:pStyle w:val="Compact"/>
            </w:pPr>
            <w:r>
              <w:t xml:space="preserve">A waste-management permit is required before site work; flood-hazard, runoff and EIA/CEMP controls may apply, especially coastal work.</w:t>
            </w:r>
          </w:p>
        </w:tc>
        <w:tc>
          <w:tcPr/>
          <w:p>
            <w:pPr>
              <w:pStyle w:val="Compact"/>
            </w:pPr>
            <w:r>
              <w:t xml:space="preserve">Confirm RAK Municipality/PSD/EPDA/RAKEZ approvals before mobilisation or discharge.</w:t>
            </w:r>
          </w:p>
        </w:tc>
        <w:tc>
          <w:tcPr/>
          <w:p>
            <w:pPr>
              <w:pStyle w:val="Compact"/>
            </w:pPr>
            <w:r>
              <w:t xml:space="preserve">[RK2; RK7; RK6]</w:t>
            </w:r>
          </w:p>
        </w:tc>
      </w:tr>
      <w:tr>
        <w:tc>
          <w:tcPr/>
          <w:p>
            <w:pPr>
              <w:pStyle w:val="Compact"/>
            </w:pPr>
            <w:r>
              <w:t xml:space="preserve">Fujairah marine limits</w:t>
            </w:r>
          </w:p>
        </w:tc>
        <w:tc>
          <w:tcPr/>
          <w:p>
            <w:pPr>
              <w:pStyle w:val="Compact"/>
            </w:pPr>
            <w:r>
              <w:t xml:space="preserve">ADNOC Onshore Fujairah Terminal limits in Port notice: suspend berthing</w:t>
            </w:r>
            <w:r>
              <w:t xml:space="preserve"> </w:t>
            </w:r>
            <w:r>
              <w:rPr>
                <w:b/>
                <w:bCs/>
              </w:rPr>
              <w:t xml:space="preserve">25 kn or ≥6 ft waves</w:t>
            </w:r>
            <w:r>
              <w:t xml:space="preserve">, loading</w:t>
            </w:r>
            <w:r>
              <w:t xml:space="preserve"> </w:t>
            </w:r>
            <w:r>
              <w:rPr>
                <w:b/>
                <w:bCs/>
              </w:rPr>
              <w:t xml:space="preserve">35 kn or ≥9 ft</w:t>
            </w:r>
            <w:r>
              <w:t xml:space="preserve">, disconnect/unberth</w:t>
            </w:r>
            <w:r>
              <w:t xml:space="preserve"> </w:t>
            </w:r>
            <w:r>
              <w:rPr>
                <w:b/>
                <w:bCs/>
              </w:rPr>
              <w:t xml:space="preserve">40 kn or ≥10 ft</w:t>
            </w:r>
            <w:r>
              <w:t xml:space="preserve">.</w:t>
            </w:r>
          </w:p>
        </w:tc>
        <w:tc>
          <w:tcPr/>
          <w:p>
            <w:pPr>
              <w:pStyle w:val="Compact"/>
            </w:pPr>
            <w:r>
              <w:rPr>
                <w:b/>
                <w:bCs/>
              </w:rPr>
              <w:t xml:space="preserve">Terminal-specific only</w:t>
            </w:r>
            <w:r>
              <w:t xml:space="preserve">; Port contractors must use permit/terminal limits, never generalise to land construction.</w:t>
            </w:r>
          </w:p>
        </w:tc>
        <w:tc>
          <w:tcPr/>
          <w:p>
            <w:pPr>
              <w:pStyle w:val="Compact"/>
            </w:pPr>
            <w:r>
              <w:t xml:space="preserve">[FU7]</w:t>
            </w:r>
          </w:p>
        </w:tc>
      </w:tr>
      <w:tr>
        <w:tc>
          <w:tcPr/>
          <w:p>
            <w:pPr>
              <w:pStyle w:val="Compact"/>
            </w:pPr>
            <w:r>
              <w:t xml:space="preserve">Dubai design context</w:t>
            </w:r>
          </w:p>
        </w:tc>
        <w:tc>
          <w:tcPr/>
          <w:p>
            <w:pPr>
              <w:pStyle w:val="Compact"/>
            </w:pPr>
            <w:r>
              <w:t xml:space="preserve">DBC 2021 specifies minimum</w:t>
            </w:r>
            <w:r>
              <w:t xml:space="preserve"> </w:t>
            </w:r>
            <w:r>
              <w:rPr>
                <w:b/>
                <w:bCs/>
              </w:rPr>
              <w:t xml:space="preserve">+300 mm gate level</w:t>
            </w:r>
            <w:r>
              <w:t xml:space="preserve"> </w:t>
            </w:r>
            <w:r>
              <w:t xml:space="preserve">or</w:t>
            </w:r>
            <w:r>
              <w:t xml:space="preserve"> </w:t>
            </w:r>
            <w:r>
              <w:rPr>
                <w:b/>
                <w:bCs/>
              </w:rPr>
              <w:t xml:space="preserve">2–5% slope</w:t>
            </w:r>
            <w:r>
              <w:t xml:space="preserve"> </w:t>
            </w:r>
            <w:r>
              <w:t xml:space="preserve">from road edge to plot access, elevated building ground and drained hard vehicle areas; ramps need rainwater drainage.</w:t>
            </w:r>
          </w:p>
        </w:tc>
        <w:tc>
          <w:tcPr/>
          <w:p>
            <w:pPr>
              <w:pStyle w:val="Compact"/>
            </w:pPr>
            <w:r>
              <w:t xml:space="preserve">Confirm project applicability/current controlled code; do not use as a substitute for drainage design/NOC.</w:t>
            </w:r>
          </w:p>
        </w:tc>
        <w:tc>
          <w:tcPr/>
          <w:p>
            <w:pPr>
              <w:pStyle w:val="Compact"/>
            </w:pPr>
            <w:r>
              <w:t xml:space="preserve">[DB8]</w:t>
            </w:r>
          </w:p>
        </w:tc>
      </w:tr>
      <w:tr>
        <w:tc>
          <w:tcPr/>
          <w:p>
            <w:pPr>
              <w:pStyle w:val="Compact"/>
            </w:pPr>
            <w:r>
              <w:t xml:space="preserve">Water quality / pollution reporting</w:t>
            </w:r>
          </w:p>
        </w:tc>
        <w:tc>
          <w:tcPr/>
          <w:p>
            <w:pPr>
              <w:pStyle w:val="Compact"/>
            </w:pPr>
            <w:r>
              <w:t xml:space="preserve">Abu Dhabi DoE 2025 requires sampling where source may be unsafe and reporting water-quality incidents/non-compliance for applicable regulated entities.</w:t>
            </w:r>
          </w:p>
        </w:tc>
        <w:tc>
          <w:tcPr/>
          <w:p>
            <w:pPr>
              <w:pStyle w:val="Compact"/>
            </w:pPr>
            <w:r>
              <w:t xml:space="preserve">Follow permit/regulator route immediately; retain samples, logs and corrective action.</w:t>
            </w:r>
          </w:p>
        </w:tc>
        <w:tc>
          <w:tcPr/>
          <w:p>
            <w:pPr>
              <w:pStyle w:val="Compact"/>
            </w:pPr>
            <w:r>
              <w:t xml:space="preserve">[EN3]</w:t>
            </w:r>
          </w:p>
        </w:tc>
      </w:tr>
      <w:tr>
        <w:tc>
          <w:tcPr/>
          <w:p>
            <w:pPr>
              <w:pStyle w:val="Compact"/>
            </w:pPr>
            <w:r>
              <w:t xml:space="preserve">Injury reporting</w:t>
            </w:r>
          </w:p>
        </w:tc>
        <w:tc>
          <w:tcPr/>
          <w:p>
            <w:pPr>
              <w:pStyle w:val="Compact"/>
            </w:pPr>
            <w:r>
              <w:t xml:space="preserve">UAE guidance cited in the UAQ research says employer notifies MOHRE of workplace injury/death within</w:t>
            </w:r>
            <w:r>
              <w:t xml:space="preserve"> </w:t>
            </w:r>
            <w:r>
              <w:rPr>
                <w:b/>
                <w:bCs/>
              </w:rPr>
              <w:t xml:space="preserve">24 hours</w:t>
            </w:r>
            <w:r>
              <w:t xml:space="preserve">.</w:t>
            </w:r>
          </w:p>
        </w:tc>
        <w:tc>
          <w:tcPr/>
          <w:p>
            <w:pPr>
              <w:pStyle w:val="Compact"/>
            </w:pPr>
            <w:r>
              <w:t xml:space="preserve">Include MOHRE notification route in incident plan; verify current procedure/contact before event.</w:t>
            </w:r>
          </w:p>
        </w:tc>
        <w:tc>
          <w:tcPr/>
          <w:p>
            <w:pPr>
              <w:pStyle w:val="Compact"/>
            </w:pPr>
            <w:r>
              <w:t xml:space="preserve">[F12]</w:t>
            </w:r>
          </w:p>
        </w:tc>
      </w:tr>
      <w:tr>
        <w:tc>
          <w:tcPr/>
          <w:p>
            <w:pPr>
              <w:pStyle w:val="Compact"/>
            </w:pPr>
            <w:r>
              <w:t xml:space="preserve">Project rainfall governance</w:t>
            </w:r>
          </w:p>
        </w:tc>
        <w:tc>
          <w:tcPr/>
          <w:p>
            <w:pPr>
              <w:pStyle w:val="Compact"/>
            </w:pPr>
            <w:r>
              <w:rPr>
                <w:b/>
                <w:bCs/>
              </w:rPr>
              <w:t xml:space="preserve">&gt;10 mm/hour</w:t>
            </w:r>
            <w:r>
              <w:t xml:space="preserve"> </w:t>
            </w:r>
            <w:r>
              <w:t xml:space="preserve">stop for excavation/CFA/platform work;</w:t>
            </w:r>
            <w:r>
              <w:t xml:space="preserve"> </w:t>
            </w:r>
            <w:r>
              <w:rPr>
                <w:b/>
                <w:bCs/>
              </w:rPr>
              <w:t xml:space="preserve">&gt;25 mm/24 h</w:t>
            </w:r>
            <w:r>
              <w:t xml:space="preserve"> </w:t>
            </w:r>
            <w:r>
              <w:t xml:space="preserve">formal reinspection/drainage review are conservative project starting values only.</w:t>
            </w:r>
          </w:p>
        </w:tc>
        <w:tc>
          <w:tcPr/>
          <w:p>
            <w:pPr>
              <w:pStyle w:val="Compact"/>
            </w:pPr>
            <w:r>
              <w:t xml:space="preserve">Calibrate through geotechnical, drainage and client/authority approval; they are</w:t>
            </w:r>
            <w:r>
              <w:t xml:space="preserve"> </w:t>
            </w:r>
            <w:r>
              <w:rPr>
                <w:b/>
                <w:bCs/>
              </w:rPr>
              <w:t xml:space="preserve">not UAE legal thresholds</w:t>
            </w:r>
            <w:r>
              <w:t xml:space="preserve">.</w:t>
            </w:r>
          </w:p>
        </w:tc>
        <w:tc>
          <w:tcPr/>
          <w:p>
            <w:pPr>
              <w:pStyle w:val="Compact"/>
            </w:pPr>
            <w:r>
              <w:t xml:space="preserve">[T4]</w:t>
            </w:r>
          </w:p>
        </w:tc>
      </w:tr>
    </w:tbl>
    <w:bookmarkStart w:id="11" w:name="threshold-hierarchy"/>
    <w:p>
      <w:pPr>
        <w:pStyle w:val="Heading3"/>
      </w:pPr>
      <w:r>
        <w:t xml:space="preserve">Threshold hierarchy</w:t>
      </w:r>
    </w:p>
    <w:p>
      <w:pPr>
        <w:pStyle w:val="Compact"/>
        <w:numPr>
          <w:ilvl w:val="0"/>
          <w:numId w:val="1002"/>
        </w:numPr>
      </w:pPr>
      <w:r>
        <w:rPr>
          <w:b/>
          <w:bCs/>
        </w:rPr>
        <w:t xml:space="preserve">Immediate stop / evacuate:</w:t>
      </w:r>
      <w:r>
        <w:t xml:space="preserve"> </w:t>
      </w:r>
      <w:r>
        <w:t xml:space="preserve">observed lightning, rising/flowing water, unsafe access, failing pumps, standing/accumulating water in the workface, ground movement, uncontrolled load, or an official direction. [F4; T4; T5]</w:t>
      </w:r>
    </w:p>
    <w:p>
      <w:pPr>
        <w:pStyle w:val="Compact"/>
        <w:numPr>
          <w:ilvl w:val="0"/>
          <w:numId w:val="1002"/>
        </w:numPr>
      </w:pPr>
      <w:r>
        <w:rPr>
          <w:b/>
          <w:bCs/>
        </w:rPr>
        <w:t xml:space="preserve">Numeric, authority-specific values:</w:t>
      </w:r>
      <w:r>
        <w:t xml:space="preserve"> </w:t>
      </w:r>
      <w:r>
        <w:t xml:space="preserve">apply only in their stated jurisdiction/scope—e.g., ADOSH 38 km/h lifting; RAK 30° / 1 m; Fujairah terminal marine limits. [AD6; RK3; FU7]</w:t>
      </w:r>
    </w:p>
    <w:p>
      <w:pPr>
        <w:pStyle w:val="Compact"/>
        <w:numPr>
          <w:ilvl w:val="0"/>
          <w:numId w:val="1002"/>
        </w:numPr>
      </w:pPr>
      <w:r>
        <w:rPr>
          <w:b/>
          <w:bCs/>
        </w:rPr>
        <w:t xml:space="preserve">Equipment/design values:</w:t>
      </w:r>
      <w:r>
        <w:t xml:space="preserve"> </w:t>
      </w:r>
      <w:r>
        <w:t xml:space="preserve">crane and hoist manufacturer limit, lift plan, temporary-works/geotechnical design and permit conditions prevail where stricter. [T8; T4]</w:t>
      </w:r>
    </w:p>
    <w:p>
      <w:pPr>
        <w:pStyle w:val="Compact"/>
        <w:numPr>
          <w:ilvl w:val="0"/>
          <w:numId w:val="1002"/>
        </w:numPr>
      </w:pPr>
      <w:r>
        <w:rPr>
          <w:b/>
          <w:bCs/>
        </w:rPr>
        <w:t xml:space="preserve">Project action levels:</w:t>
      </w:r>
      <w:r>
        <w:t xml:space="preserve"> </w:t>
      </w:r>
      <w:r>
        <w:t xml:space="preserve">may be more conservative, but label them as project governance values and review them after each event. [T4; F14]</w:t>
      </w:r>
    </w:p>
    <w:bookmarkEnd w:id="11"/>
    <w:bookmarkEnd w:id="12"/>
    <w:bookmarkStart w:id="13" w:name="Xb7ec5755a2cf7e14fc0fa2ae0d0e70526f4a3d4"/>
    <w:p>
      <w:pPr>
        <w:pStyle w:val="Heading2"/>
      </w:pPr>
      <w:r>
        <w:t xml:space="preserve">3. Notable event lessons and subsequent action</w:t>
      </w:r>
    </w:p>
    <w:p>
      <w:pPr>
        <w:pStyle w:val="BlockText"/>
      </w:pPr>
      <w:r>
        <w:t xml:space="preserve">“What failed” below describes observed impact or vulnerability reported/recognised in source material. It is</w:t>
      </w:r>
      <w:r>
        <w:t xml:space="preserve"> </w:t>
      </w:r>
      <w:r>
        <w:rPr>
          <w:b/>
          <w:bCs/>
        </w:rPr>
        <w:t xml:space="preserve">not</w:t>
      </w:r>
      <w:r>
        <w:t xml:space="preserve"> </w:t>
      </w:r>
      <w:r>
        <w:t xml:space="preserve">a formal root-cause finding against a particular asset, contractor or authority.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Date</w:t>
            </w:r>
          </w:p>
        </w:tc>
        <w:tc>
          <w:tcPr/>
          <w:p>
            <w:pPr>
              <w:pStyle w:val="Compact"/>
            </w:pPr>
            <w:r>
              <w:t xml:space="preserve">Verified event / observed impact</w:t>
            </w:r>
          </w:p>
        </w:tc>
        <w:tc>
          <w:tcPr/>
          <w:p>
            <w:pPr>
              <w:pStyle w:val="Compact"/>
            </w:pPr>
            <w:r>
              <w:t xml:space="preserve">What the event exposed</w:t>
            </w:r>
          </w:p>
        </w:tc>
        <w:tc>
          <w:tcPr/>
          <w:p>
            <w:pPr>
              <w:pStyle w:val="Compact"/>
            </w:pPr>
            <w:r>
              <w:t xml:space="preserve">What changed or should change on construction sites</w:t>
            </w:r>
          </w:p>
        </w:tc>
        <w:tc>
          <w:tcPr/>
          <w:p>
            <w:pPr>
              <w:pStyle w:val="Compact"/>
            </w:pPr>
            <w:r>
              <w:t xml:space="preserve">Source</w:t>
            </w:r>
          </w:p>
        </w:tc>
      </w:tr>
      <w:tr>
        <w:tc>
          <w:tcPr/>
          <w:p>
            <w:pPr>
              <w:pStyle w:val="Compact"/>
            </w:pPr>
            <w:r>
              <w:rPr>
                <w:b/>
                <w:bCs/>
              </w:rPr>
              <w:t xml:space="preserve">16–17 Apr 2024</w:t>
            </w:r>
          </w:p>
        </w:tc>
        <w:tc>
          <w:tcPr/>
          <w:p>
            <w:pPr>
              <w:pStyle w:val="Compact"/>
            </w:pPr>
            <w:r>
              <w:t xml:space="preserve">NCM/WAM reported the heaviest UAE rainfall since records began in 1949;</w:t>
            </w:r>
            <w:r>
              <w:t xml:space="preserve"> </w:t>
            </w:r>
            <w:r>
              <w:rPr>
                <w:b/>
                <w:bCs/>
              </w:rPr>
              <w:t xml:space="preserve">254 mm in under 24 h</w:t>
            </w:r>
            <w:r>
              <w:t xml:space="preserve"> </w:t>
            </w:r>
            <w:r>
              <w:t xml:space="preserve">at Khatm Al Shakla. Roads, airports, utilities, homes and businesses were disrupted.</w:t>
            </w:r>
          </w:p>
        </w:tc>
        <w:tc>
          <w:tcPr/>
          <w:p>
            <w:pPr>
              <w:pStyle w:val="Compact"/>
            </w:pPr>
            <w:r>
              <w:t xml:space="preserve">Short-duration extreme rain overwhelmed normal drainage assumptions; low points, access and temporary systems were vulnerable.</w:t>
            </w:r>
          </w:p>
        </w:tc>
        <w:tc>
          <w:tcPr/>
          <w:p>
            <w:pPr>
              <w:pStyle w:val="Compact"/>
            </w:pPr>
            <w:r>
              <w:t xml:space="preserve">Treat extreme-cell rainfall as a design/emergency scenario: redundant pumping, protected power, safe access, evacuation and multi-day recovery.</w:t>
            </w:r>
          </w:p>
        </w:tc>
        <w:tc>
          <w:tcPr/>
          <w:p>
            <w:pPr>
              <w:pStyle w:val="Compact"/>
            </w:pPr>
            <w:r>
              <w:t xml:space="preserve">[EV1; EV2]</w:t>
            </w:r>
          </w:p>
        </w:tc>
      </w:tr>
      <w:tr>
        <w:tc>
          <w:tcPr/>
          <w:p>
            <w:pPr>
              <w:pStyle w:val="Compact"/>
            </w:pPr>
            <w:r>
              <w:rPr>
                <w:b/>
                <w:bCs/>
              </w:rPr>
              <w:t xml:space="preserve">24 Apr 2024</w:t>
            </w:r>
          </w:p>
        </w:tc>
        <w:tc>
          <w:tcPr/>
          <w:p>
            <w:pPr>
              <w:pStyle w:val="Compact"/>
            </w:pPr>
            <w:r>
              <w:t xml:space="preserve">Cabinet approved</w:t>
            </w:r>
            <w:r>
              <w:t xml:space="preserve"> </w:t>
            </w:r>
            <w:r>
              <w:rPr>
                <w:b/>
                <w:bCs/>
              </w:rPr>
              <w:t xml:space="preserve">AED 2bn</w:t>
            </w:r>
            <w:r>
              <w:t xml:space="preserve"> </w:t>
            </w:r>
            <w:r>
              <w:t xml:space="preserve">relief for citizens’ homes and a federal/local flood and infrastructure damage committee.</w:t>
            </w:r>
          </w:p>
        </w:tc>
        <w:tc>
          <w:tcPr/>
          <w:p>
            <w:pPr>
              <w:pStyle w:val="Compact"/>
            </w:pPr>
            <w:r>
              <w:t xml:space="preserve">Recovery is an evidence, assessment and coordination operation—not a same-day return to normal.</w:t>
            </w:r>
          </w:p>
        </w:tc>
        <w:tc>
          <w:tcPr/>
          <w:p>
            <w:pPr>
              <w:pStyle w:val="Compact"/>
            </w:pPr>
            <w:r>
              <w:t xml:space="preserve">Preserve photos, logs, pump hours, notices, damage segregation and mitigation costs; notify insurer/contract administrator.</w:t>
            </w:r>
          </w:p>
        </w:tc>
        <w:tc>
          <w:tcPr/>
          <w:p>
            <w:pPr>
              <w:pStyle w:val="Compact"/>
            </w:pPr>
            <w:r>
              <w:t xml:space="preserve">[EV3]</w:t>
            </w:r>
          </w:p>
        </w:tc>
      </w:tr>
      <w:tr>
        <w:tc>
          <w:tcPr/>
          <w:p>
            <w:pPr>
              <w:pStyle w:val="Compact"/>
            </w:pPr>
            <w:r>
              <w:rPr>
                <w:b/>
                <w:bCs/>
              </w:rPr>
              <w:t xml:space="preserve">28 Apr 2024</w:t>
            </w:r>
          </w:p>
        </w:tc>
        <w:tc>
          <w:tcPr/>
          <w:p>
            <w:pPr>
              <w:pStyle w:val="Compact"/>
            </w:pPr>
            <w:r>
              <w:t xml:space="preserve">MOI/NCEMA reported 97 entities, &gt;32,000 personnel, c.5,000 vehicles/machines, 207,691 calls, 1,828 evacuations, 635 search-and-rescue calls, 14 air sorties and 139 rescues.</w:t>
            </w:r>
          </w:p>
        </w:tc>
        <w:tc>
          <w:tcPr/>
          <w:p>
            <w:pPr>
              <w:pStyle w:val="Compact"/>
            </w:pPr>
            <w:r>
              <w:t xml:space="preserve">Access/transport/welfare can fail at a scale beyond site resources.</w:t>
            </w:r>
          </w:p>
        </w:tc>
        <w:tc>
          <w:tcPr/>
          <w:p>
            <w:pPr>
              <w:pStyle w:val="Compact"/>
            </w:pPr>
            <w:r>
              <w:t xml:space="preserve">Maintain alternate access, worker accounting, shelter, transport and early emergency escalation; never improvise water rescue.</w:t>
            </w:r>
          </w:p>
        </w:tc>
        <w:tc>
          <w:tcPr/>
          <w:p>
            <w:pPr>
              <w:pStyle w:val="Compact"/>
            </w:pPr>
            <w:r>
              <w:t xml:space="preserve">[EV2]</w:t>
            </w:r>
          </w:p>
        </w:tc>
      </w:tr>
      <w:tr>
        <w:tc>
          <w:tcPr/>
          <w:p>
            <w:pPr>
              <w:pStyle w:val="Compact"/>
            </w:pPr>
            <w:r>
              <w:rPr>
                <w:b/>
                <w:bCs/>
              </w:rPr>
              <w:t xml:space="preserve">5 May 2024</w:t>
            </w:r>
          </w:p>
        </w:tc>
        <w:tc>
          <w:tcPr/>
          <w:p>
            <w:pPr>
              <w:pStyle w:val="Compact"/>
            </w:pPr>
            <w:r>
              <w:t xml:space="preserve">Dubai Municipality disinfected</w:t>
            </w:r>
            <w:r>
              <w:t xml:space="preserve"> </w:t>
            </w:r>
            <w:r>
              <w:rPr>
                <w:b/>
                <w:bCs/>
              </w:rPr>
              <w:t xml:space="preserve">102</w:t>
            </w:r>
            <w:r>
              <w:t xml:space="preserve"> </w:t>
            </w:r>
            <w:r>
              <w:t xml:space="preserve">water-collection sites and &gt;</w:t>
            </w:r>
            <w:r>
              <w:rPr>
                <w:b/>
                <w:bCs/>
              </w:rPr>
              <w:t xml:space="preserve">75,000</w:t>
            </w:r>
            <w:r>
              <w:t xml:space="preserve"> </w:t>
            </w:r>
            <w:r>
              <w:t xml:space="preserve">drainage outlets and inspected construction sites.</w:t>
            </w:r>
          </w:p>
        </w:tc>
        <w:tc>
          <w:tcPr/>
          <w:p>
            <w:pPr>
              <w:pStyle w:val="Compact"/>
            </w:pPr>
            <w:r>
              <w:t xml:space="preserve">Stagnant water, blocked inlets, mosquito breeding and wet materials persist after rain stops.</w:t>
            </w:r>
          </w:p>
        </w:tc>
        <w:tc>
          <w:tcPr/>
          <w:p>
            <w:pPr>
              <w:pStyle w:val="Compact"/>
            </w:pPr>
            <w:r>
              <w:t xml:space="preserve">Add drain cleaning, pest control, potable-water/welfare inspection and clean-up PPE to post-event release.</w:t>
            </w:r>
          </w:p>
        </w:tc>
        <w:tc>
          <w:tcPr/>
          <w:p>
            <w:pPr>
              <w:pStyle w:val="Compact"/>
            </w:pPr>
            <w:r>
              <w:t xml:space="preserve">[EV4]</w:t>
            </w:r>
          </w:p>
        </w:tc>
      </w:tr>
      <w:tr>
        <w:tc>
          <w:tcPr/>
          <w:p>
            <w:pPr>
              <w:pStyle w:val="Compact"/>
            </w:pPr>
            <w:r>
              <w:rPr>
                <w:b/>
                <w:bCs/>
              </w:rPr>
              <w:t xml:space="preserve">13 Apr 2025</w:t>
            </w:r>
          </w:p>
        </w:tc>
        <w:tc>
          <w:tcPr/>
          <w:p>
            <w:pPr>
              <w:pStyle w:val="Compact"/>
            </w:pPr>
            <w:r>
              <w:t xml:space="preserve">Dubai awarded</w:t>
            </w:r>
            <w:r>
              <w:t xml:space="preserve"> </w:t>
            </w:r>
            <w:r>
              <w:rPr>
                <w:b/>
                <w:bCs/>
              </w:rPr>
              <w:t xml:space="preserve">AED 1.439bn</w:t>
            </w:r>
            <w:r>
              <w:t xml:space="preserve"> </w:t>
            </w:r>
            <w:r>
              <w:t xml:space="preserve">in Tasreef contracts for &gt;</w:t>
            </w:r>
            <w:r>
              <w:rPr>
                <w:b/>
                <w:bCs/>
              </w:rPr>
              <w:t xml:space="preserve">36 km</w:t>
            </w:r>
            <w:r>
              <w:t xml:space="preserve"> </w:t>
            </w:r>
            <w:r>
              <w:t xml:space="preserve">of drainage lines; stated long-term objective is 700% capacity increase over 100 years.</w:t>
            </w:r>
          </w:p>
        </w:tc>
        <w:tc>
          <w:tcPr/>
          <w:p>
            <w:pPr>
              <w:pStyle w:val="Compact"/>
            </w:pPr>
            <w:r>
              <w:t xml:space="preserve">Strategic municipal upgrades do not assure site-level conveyance, pump capacity or discharge acceptance.</w:t>
            </w:r>
          </w:p>
        </w:tc>
        <w:tc>
          <w:tcPr/>
          <w:p>
            <w:pPr>
              <w:pStyle w:val="Compact"/>
            </w:pPr>
            <w:r>
              <w:t xml:space="preserve">Coordinate interfaces; retain temporary drainage/pump plans and do not rely on city programmes as a flood guarantee.</w:t>
            </w:r>
          </w:p>
        </w:tc>
        <w:tc>
          <w:tcPr/>
          <w:p>
            <w:pPr>
              <w:pStyle w:val="Compact"/>
            </w:pPr>
            <w:r>
              <w:t xml:space="preserve">[EV5]</w:t>
            </w:r>
          </w:p>
        </w:tc>
      </w:tr>
      <w:tr>
        <w:tc>
          <w:tcPr/>
          <w:p>
            <w:pPr>
              <w:pStyle w:val="Compact"/>
            </w:pPr>
            <w:r>
              <w:rPr>
                <w:b/>
                <w:bCs/>
              </w:rPr>
              <w:t xml:space="preserve">30 Aug 2025</w:t>
            </w:r>
          </w:p>
        </w:tc>
        <w:tc>
          <w:tcPr/>
          <w:p>
            <w:pPr>
              <w:pStyle w:val="Compact"/>
            </w:pPr>
            <w:r>
              <w:t xml:space="preserve">Al Ain box-culvert release states</w:t>
            </w:r>
            <w:r>
              <w:t xml:space="preserve"> </w:t>
            </w:r>
            <w:r>
              <w:rPr>
                <w:b/>
                <w:bCs/>
              </w:rPr>
              <w:t xml:space="preserve">20 m³/s</w:t>
            </w:r>
            <w:r>
              <w:t xml:space="preserve"> </w:t>
            </w:r>
            <w:r>
              <w:t xml:space="preserve">capacity, 4.5 m depth and inconsistent</w:t>
            </w:r>
            <w:r>
              <w:t xml:space="preserve"> </w:t>
            </w:r>
            <w:r>
              <w:rPr>
                <w:b/>
                <w:bCs/>
              </w:rPr>
              <w:t xml:space="preserve">2,390 m / 2,600 m</w:t>
            </w:r>
            <w:r>
              <w:t xml:space="preserve"> </w:t>
            </w:r>
            <w:r>
              <w:t xml:space="preserve">length descriptions.</w:t>
            </w:r>
          </w:p>
        </w:tc>
        <w:tc>
          <w:tcPr/>
          <w:p>
            <w:pPr>
              <w:pStyle w:val="Compact"/>
            </w:pPr>
            <w:r>
              <w:t xml:space="preserve">Public releases can contain conflicting design details; press releases are not as-built data.</w:t>
            </w:r>
          </w:p>
        </w:tc>
        <w:tc>
          <w:tcPr/>
          <w:p>
            <w:pPr>
              <w:pStyle w:val="Compact"/>
            </w:pPr>
            <w:r>
              <w:t xml:space="preserve">Obtain approved drawings/as-builts and authority connection details rather than importing media values into a design.</w:t>
            </w:r>
          </w:p>
        </w:tc>
        <w:tc>
          <w:tcPr/>
          <w:p>
            <w:pPr>
              <w:pStyle w:val="Compact"/>
            </w:pPr>
            <w:r>
              <w:t xml:space="preserve">[EV6]</w:t>
            </w:r>
          </w:p>
        </w:tc>
      </w:tr>
      <w:tr>
        <w:tc>
          <w:tcPr/>
          <w:p>
            <w:pPr>
              <w:pStyle w:val="Compact"/>
            </w:pPr>
            <w:r>
              <w:rPr>
                <w:b/>
                <w:bCs/>
              </w:rPr>
              <w:t xml:space="preserve">18 Dec 2025</w:t>
            </w:r>
          </w:p>
        </w:tc>
        <w:tc>
          <w:tcPr/>
          <w:p>
            <w:pPr>
              <w:pStyle w:val="Compact"/>
            </w:pPr>
            <w:r>
              <w:t xml:space="preserve">Dubai reported 60 km above-ground pumping lines, six temporary lakes, up to 600,000 m³ storage, 10 outfalls and &gt;84,000 inlet inspections.</w:t>
            </w:r>
          </w:p>
        </w:tc>
        <w:tc>
          <w:tcPr/>
          <w:p>
            <w:pPr>
              <w:pStyle w:val="Compact"/>
            </w:pPr>
            <w:r>
              <w:t xml:space="preserve">Readiness relies on pre-positioned capacity, inspection and 24/7 mobilisation.</w:t>
            </w:r>
          </w:p>
        </w:tc>
        <w:tc>
          <w:tcPr/>
          <w:p>
            <w:pPr>
              <w:pStyle w:val="Compact"/>
            </w:pPr>
            <w:r>
              <w:t xml:space="preserve">Pre-book pumps/tankers, test backup power, verify lawful outfalls and exercise call-out chain before weather.</w:t>
            </w:r>
          </w:p>
        </w:tc>
        <w:tc>
          <w:tcPr/>
          <w:p>
            <w:pPr>
              <w:pStyle w:val="Compact"/>
            </w:pPr>
            <w:r>
              <w:t xml:space="preserve">[EV7]</w:t>
            </w:r>
          </w:p>
        </w:tc>
      </w:tr>
      <w:tr>
        <w:tc>
          <w:tcPr/>
          <w:p>
            <w:pPr>
              <w:pStyle w:val="Compact"/>
            </w:pPr>
            <w:r>
              <w:rPr>
                <w:b/>
                <w:bCs/>
              </w:rPr>
              <w:t xml:space="preserve">2026 (research cut-off)</w:t>
            </w:r>
          </w:p>
        </w:tc>
        <w:tc>
          <w:tcPr/>
          <w:p>
            <w:pPr>
              <w:pStyle w:val="Compact"/>
            </w:pPr>
            <w:r>
              <w:t xml:space="preserve">No verified 2026 rain/flood event or named storm was identified in the supplied authoritative research.</w:t>
            </w:r>
          </w:p>
        </w:tc>
        <w:tc>
          <w:tcPr/>
          <w:p>
            <w:pPr>
              <w:pStyle w:val="Compact"/>
            </w:pPr>
            <w:r>
              <w:t xml:space="preserve">Unsupported event names/numbers can corrupt risk files.</w:t>
            </w:r>
          </w:p>
        </w:tc>
        <w:tc>
          <w:tcPr/>
          <w:p>
            <w:pPr>
              <w:pStyle w:val="Compact"/>
            </w:pPr>
            <w:r>
              <w:t xml:space="preserve">Use live NCM, NCEMA and emirate notices; do not invent a storm name or assume clear morning conditions remove thunderstorm risk.</w:t>
            </w:r>
          </w:p>
        </w:tc>
        <w:tc>
          <w:tcPr/>
          <w:p>
            <w:pPr>
              <w:pStyle w:val="Compact"/>
            </w:pPr>
            <w:r>
              <w:t xml:space="preserve">[F1; F2]</w:t>
            </w:r>
          </w:p>
        </w:tc>
      </w:tr>
    </w:tbl>
    <w:bookmarkEnd w:id="13"/>
    <w:bookmarkStart w:id="23" w:name="X7eb198a613f94ad4e154af313bf334539e308e2"/>
    <w:p>
      <w:pPr>
        <w:pStyle w:val="Heading2"/>
      </w:pPr>
      <w:r>
        <w:t xml:space="preserve">4. Candidate checklist inventory — 126 de-duplicated points</w:t>
      </w:r>
    </w:p>
    <w:p>
      <w:pPr>
        <w:pStyle w:val="FirstParagraph"/>
      </w:pPr>
      <w:r>
        <w:rPr>
          <w:b/>
          <w:bCs/>
        </w:rPr>
        <w:t xml:space="preserve">Completion convention:</w:t>
      </w:r>
      <w:r>
        <w:t xml:space="preserve"> </w:t>
      </w:r>
      <w:r>
        <w:t xml:space="preserve">“Candidate point” means an auditable action; attach owner, due date, evidence and project/emirate applicability in the site register. References point to the verified source catalogue in section 5.</w:t>
      </w:r>
    </w:p>
    <w:bookmarkStart w:id="14" w:name="governanceweather-monitoring"/>
    <w:p>
      <w:pPr>
        <w:pStyle w:val="Heading3"/>
      </w:pPr>
      <w:r>
        <w:t xml:space="preserve">Governance/Weather Monitoring</w:t>
      </w:r>
    </w:p>
    <w:tbl>
      <w:tblPr>
        <w:tblStyle w:val="Table"/>
        <w:tblW w:type="pct" w:w="5000"/>
        <w:tblLayout w:type="fixed"/>
        <w:tblLook w:firstRow="1" w:lastRow="0" w:firstColumn="0" w:lastColumn="0" w:noHBand="0" w:noVBand="0" w:val="0020"/>
      </w:tblPr>
      <w:tblGrid>
        <w:gridCol w:w="2436"/>
        <w:gridCol w:w="1827"/>
        <w:gridCol w:w="1827"/>
        <w:gridCol w:w="1827"/>
      </w:tblGrid>
      <w:tr>
        <w:trPr>
          <w:tblHeader w:val="on"/>
        </w:trPr>
        <w:tc>
          <w:tcPr/>
          <w:p>
            <w:pPr>
              <w:pStyle w:val="Compact"/>
              <w:jc w:val="right"/>
            </w:pPr>
            <w:r>
              <w:t xml:space="preserve">No.</w:t>
            </w:r>
          </w:p>
        </w:tc>
        <w:tc>
          <w:tcPr/>
          <w:p>
            <w:pPr>
              <w:pStyle w:val="Compact"/>
            </w:pPr>
            <w:r>
              <w:t xml:space="preserve">Candidate point</w:t>
            </w:r>
          </w:p>
        </w:tc>
        <w:tc>
          <w:tcPr/>
          <w:p>
            <w:pPr>
              <w:pStyle w:val="Compact"/>
            </w:pPr>
            <w:r>
              <w:t xml:space="preserve">Rationale</w:t>
            </w:r>
          </w:p>
        </w:tc>
        <w:tc>
          <w:tcPr/>
          <w:p>
            <w:pPr>
              <w:pStyle w:val="Compact"/>
            </w:pPr>
            <w:r>
              <w:t xml:space="preserve">Source</w:t>
            </w:r>
          </w:p>
        </w:tc>
      </w:tr>
      <w:tr>
        <w:tc>
          <w:tcPr/>
          <w:p>
            <w:pPr>
              <w:pStyle w:val="Compact"/>
              <w:jc w:val="right"/>
            </w:pPr>
            <w:r>
              <w:t xml:space="preserve">1</w:t>
            </w:r>
          </w:p>
        </w:tc>
        <w:tc>
          <w:tcPr/>
          <w:p>
            <w:pPr>
              <w:pStyle w:val="Compact"/>
            </w:pPr>
            <w:r>
              <w:t xml:space="preserve">Appoint a named weather controller and deputy for every shift, including night work.</w:t>
            </w:r>
          </w:p>
        </w:tc>
        <w:tc>
          <w:tcPr/>
          <w:p>
            <w:pPr>
              <w:pStyle w:val="Compact"/>
            </w:pPr>
            <w:r>
              <w:t xml:space="preserve">Ensures a single accountable decision route rather than informal phone-app monitoring.</w:t>
            </w:r>
          </w:p>
        </w:tc>
        <w:tc>
          <w:tcPr/>
          <w:p>
            <w:pPr>
              <w:pStyle w:val="Compact"/>
            </w:pPr>
            <w:r>
              <w:t xml:space="preserve">[F1; F2]</w:t>
            </w:r>
          </w:p>
        </w:tc>
      </w:tr>
      <w:tr>
        <w:tc>
          <w:tcPr/>
          <w:p>
            <w:pPr>
              <w:pStyle w:val="Compact"/>
              <w:jc w:val="right"/>
            </w:pPr>
            <w:r>
              <w:t xml:space="preserve">2</w:t>
            </w:r>
          </w:p>
        </w:tc>
        <w:tc>
          <w:tcPr/>
          <w:p>
            <w:pPr>
              <w:pStyle w:val="Compact"/>
            </w:pPr>
            <w:r>
              <w:t xml:space="preserve">Log NCM project-area forecast, warning colour, hazard wording, issue time, expiry and screenshot at each defined check.</w:t>
            </w:r>
          </w:p>
        </w:tc>
        <w:tc>
          <w:tcPr/>
          <w:p>
            <w:pPr>
              <w:pStyle w:val="Compact"/>
            </w:pPr>
            <w:r>
              <w:t xml:space="preserve">NCM colour alone has no verified construction-specific meaning; the exact warning must be auditable.</w:t>
            </w:r>
          </w:p>
        </w:tc>
        <w:tc>
          <w:tcPr/>
          <w:p>
            <w:pPr>
              <w:pStyle w:val="Compact"/>
            </w:pPr>
            <w:r>
              <w:t xml:space="preserve">[F1]</w:t>
            </w:r>
          </w:p>
        </w:tc>
      </w:tr>
      <w:tr>
        <w:tc>
          <w:tcPr/>
          <w:p>
            <w:pPr>
              <w:pStyle w:val="Compact"/>
              <w:jc w:val="right"/>
            </w:pPr>
            <w:r>
              <w:t xml:space="preserve">3</w:t>
            </w:r>
          </w:p>
        </w:tc>
        <w:tc>
          <w:tcPr/>
          <w:p>
            <w:pPr>
              <w:pStyle w:val="Compact"/>
            </w:pPr>
            <w:r>
              <w:t xml:space="preserve">Subscribe the incident commander to NCEMA EWS and the relevant emirate/utility/Civil Defence channels.</w:t>
            </w:r>
          </w:p>
        </w:tc>
        <w:tc>
          <w:tcPr/>
          <w:p>
            <w:pPr>
              <w:pStyle w:val="Compact"/>
            </w:pPr>
            <w:r>
              <w:t xml:space="preserve">National alerts and local instructions may contain evacuation, access or closure directions beyond a forecast.</w:t>
            </w:r>
          </w:p>
        </w:tc>
        <w:tc>
          <w:tcPr/>
          <w:p>
            <w:pPr>
              <w:pStyle w:val="Compact"/>
            </w:pPr>
            <w:r>
              <w:t xml:space="preserve">[F2; F5]</w:t>
            </w:r>
          </w:p>
        </w:tc>
      </w:tr>
      <w:tr>
        <w:tc>
          <w:tcPr/>
          <w:p>
            <w:pPr>
              <w:pStyle w:val="Compact"/>
              <w:jc w:val="right"/>
            </w:pPr>
            <w:r>
              <w:t xml:space="preserve">4</w:t>
            </w:r>
          </w:p>
        </w:tc>
        <w:tc>
          <w:tcPr/>
          <w:p>
            <w:pPr>
              <w:pStyle w:val="Compact"/>
            </w:pPr>
            <w:r>
              <w:t xml:space="preserve">Use a written alert matrix: yellow—heightened checks; orange—activate plan/reassess exposed work; red—stop/evacuate exposed work as conditions and official directions require.</w:t>
            </w:r>
          </w:p>
        </w:tc>
        <w:tc>
          <w:tcPr/>
          <w:p>
            <w:pPr>
              <w:pStyle w:val="Compact"/>
            </w:pPr>
            <w:r>
              <w:t xml:space="preserve">This is a conservative site control, not an asserted NCM legal definition.</w:t>
            </w:r>
          </w:p>
        </w:tc>
        <w:tc>
          <w:tcPr/>
          <w:p>
            <w:pPr>
              <w:pStyle w:val="Compact"/>
            </w:pPr>
            <w:r>
              <w:t xml:space="preserve">[F1; F5]</w:t>
            </w:r>
          </w:p>
        </w:tc>
      </w:tr>
      <w:tr>
        <w:tc>
          <w:tcPr/>
          <w:p>
            <w:pPr>
              <w:pStyle w:val="Compact"/>
              <w:jc w:val="right"/>
            </w:pPr>
            <w:r>
              <w:t xml:space="preserve">5</w:t>
            </w:r>
          </w:p>
        </w:tc>
        <w:tc>
          <w:tcPr/>
          <w:p>
            <w:pPr>
              <w:pStyle w:val="Compact"/>
            </w:pPr>
            <w:r>
              <w:t xml:space="preserve">Define a named all-clear authority and prohibit supervisors from restarting independently.</w:t>
            </w:r>
          </w:p>
        </w:tc>
        <w:tc>
          <w:tcPr/>
          <w:p>
            <w:pPr>
              <w:pStyle w:val="Compact"/>
            </w:pPr>
            <w:r>
              <w:t xml:space="preserve">Weather can stop before ground, power and temporary works become safe.</w:t>
            </w:r>
          </w:p>
        </w:tc>
        <w:tc>
          <w:tcPr/>
          <w:p>
            <w:pPr>
              <w:pStyle w:val="Compact"/>
            </w:pPr>
            <w:r>
              <w:t xml:space="preserve">[F14; T4]</w:t>
            </w:r>
          </w:p>
        </w:tc>
      </w:tr>
      <w:tr>
        <w:tc>
          <w:tcPr/>
          <w:p>
            <w:pPr>
              <w:pStyle w:val="Compact"/>
              <w:jc w:val="right"/>
            </w:pPr>
            <w:r>
              <w:t xml:space="preserve">6</w:t>
            </w:r>
          </w:p>
        </w:tc>
        <w:tc>
          <w:tcPr/>
          <w:p>
            <w:pPr>
              <w:pStyle w:val="Compact"/>
            </w:pPr>
            <w:r>
              <w:t xml:space="preserve">Hold a pre-season review of permits, authority contacts, critical drawings, flood map, call-out roster and subcontractor obligations.</w:t>
            </w:r>
          </w:p>
        </w:tc>
        <w:tc>
          <w:tcPr/>
          <w:p>
            <w:pPr>
              <w:pStyle w:val="Compact"/>
            </w:pPr>
            <w:r>
              <w:t xml:space="preserve">Wet-weather decisions fail when permits, drawings or contact ownership are stale.</w:t>
            </w:r>
          </w:p>
        </w:tc>
        <w:tc>
          <w:tcPr/>
          <w:p>
            <w:pPr>
              <w:pStyle w:val="Compact"/>
            </w:pPr>
            <w:r>
              <w:t xml:space="preserve">[F14; AD1]</w:t>
            </w:r>
          </w:p>
        </w:tc>
      </w:tr>
      <w:tr>
        <w:tc>
          <w:tcPr/>
          <w:p>
            <w:pPr>
              <w:pStyle w:val="Compact"/>
              <w:jc w:val="right"/>
            </w:pPr>
            <w:r>
              <w:t xml:space="preserve">7</w:t>
            </w:r>
          </w:p>
        </w:tc>
        <w:tc>
          <w:tcPr/>
          <w:p>
            <w:pPr>
              <w:pStyle w:val="Compact"/>
            </w:pPr>
            <w:r>
              <w:t xml:space="preserve">Include weather hold points in method statements, lift plans, excavation permits and temporary-works registers.</w:t>
            </w:r>
          </w:p>
        </w:tc>
        <w:tc>
          <w:tcPr/>
          <w:p>
            <w:pPr>
              <w:pStyle w:val="Compact"/>
            </w:pPr>
            <w:r>
              <w:t xml:space="preserve">Puts rain/wind decisions inside controlled work systems instead of a separate HSE notice.</w:t>
            </w:r>
          </w:p>
        </w:tc>
        <w:tc>
          <w:tcPr/>
          <w:p>
            <w:pPr>
              <w:pStyle w:val="Compact"/>
            </w:pPr>
            <w:r>
              <w:t xml:space="preserve">[AD2; T8]</w:t>
            </w:r>
          </w:p>
        </w:tc>
      </w:tr>
      <w:tr>
        <w:tc>
          <w:tcPr/>
          <w:p>
            <w:pPr>
              <w:pStyle w:val="Compact"/>
              <w:jc w:val="right"/>
            </w:pPr>
            <w:r>
              <w:t xml:space="preserve">8</w:t>
            </w:r>
          </w:p>
        </w:tc>
        <w:tc>
          <w:tcPr/>
          <w:p>
            <w:pPr>
              <w:pStyle w:val="Compact"/>
            </w:pPr>
            <w:r>
              <w:t xml:space="preserve">Brief all workers in their working language on alarms, muster points, no-go flood routes and unsafe-travel rights.</w:t>
            </w:r>
          </w:p>
        </w:tc>
        <w:tc>
          <w:tcPr/>
          <w:p>
            <w:pPr>
              <w:pStyle w:val="Compact"/>
            </w:pPr>
            <w:r>
              <w:t xml:space="preserve">Warnings must become understood action, including workers without smartphone access.</w:t>
            </w:r>
          </w:p>
        </w:tc>
        <w:tc>
          <w:tcPr/>
          <w:p>
            <w:pPr>
              <w:pStyle w:val="Compact"/>
            </w:pPr>
            <w:r>
              <w:t xml:space="preserve">[F2; F6]</w:t>
            </w:r>
          </w:p>
        </w:tc>
      </w:tr>
      <w:tr>
        <w:tc>
          <w:tcPr/>
          <w:p>
            <w:pPr>
              <w:pStyle w:val="Compact"/>
              <w:jc w:val="right"/>
            </w:pPr>
            <w:r>
              <w:t xml:space="preserve">9</w:t>
            </w:r>
          </w:p>
        </w:tc>
        <w:tc>
          <w:tcPr/>
          <w:p>
            <w:pPr>
              <w:pStyle w:val="Compact"/>
            </w:pPr>
            <w:r>
              <w:t xml:space="preserve">Record site water-level observations, pump status and access-road condition alongside weather warnings.</w:t>
            </w:r>
          </w:p>
        </w:tc>
        <w:tc>
          <w:tcPr/>
          <w:p>
            <w:pPr>
              <w:pStyle w:val="Compact"/>
            </w:pPr>
            <w:r>
              <w:t xml:space="preserve">Local conditions—not forecast alone—determine when the site becomes unsafe.</w:t>
            </w:r>
          </w:p>
        </w:tc>
        <w:tc>
          <w:tcPr/>
          <w:p>
            <w:pPr>
              <w:pStyle w:val="Compact"/>
            </w:pPr>
            <w:r>
              <w:t xml:space="preserve">[EV7; T9]</w:t>
            </w:r>
          </w:p>
        </w:tc>
      </w:tr>
      <w:tr>
        <w:tc>
          <w:tcPr/>
          <w:p>
            <w:pPr>
              <w:pStyle w:val="Compact"/>
              <w:jc w:val="right"/>
            </w:pPr>
            <w:r>
              <w:t xml:space="preserve">10</w:t>
            </w:r>
          </w:p>
        </w:tc>
        <w:tc>
          <w:tcPr/>
          <w:p>
            <w:pPr>
              <w:pStyle w:val="Compact"/>
            </w:pPr>
            <w:r>
              <w:t xml:space="preserve">Implement a task-by-task stop-work assessment for lightning, wind, visibility, wet footing and water ingress.</w:t>
            </w:r>
          </w:p>
        </w:tc>
        <w:tc>
          <w:tcPr/>
          <w:p>
            <w:pPr>
              <w:pStyle w:val="Compact"/>
            </w:pPr>
            <w:r>
              <w:t xml:space="preserve">MOHRE urges precautions but does not create a blanket closure of construction.</w:t>
            </w:r>
          </w:p>
        </w:tc>
        <w:tc>
          <w:tcPr/>
          <w:p>
            <w:pPr>
              <w:pStyle w:val="Compact"/>
            </w:pPr>
            <w:r>
              <w:t xml:space="preserve">[F6; F1]</w:t>
            </w:r>
          </w:p>
        </w:tc>
      </w:tr>
      <w:tr>
        <w:tc>
          <w:tcPr/>
          <w:p>
            <w:pPr>
              <w:pStyle w:val="Compact"/>
              <w:jc w:val="right"/>
            </w:pPr>
            <w:r>
              <w:t xml:space="preserve">11</w:t>
            </w:r>
          </w:p>
        </w:tc>
        <w:tc>
          <w:tcPr/>
          <w:p>
            <w:pPr>
              <w:pStyle w:val="Compact"/>
            </w:pPr>
            <w:r>
              <w:t xml:space="preserve">Allow delayed reporting where transit is unsafe and record qualifying weather/NCM-warning delay as working time.</w:t>
            </w:r>
          </w:p>
        </w:tc>
        <w:tc>
          <w:tcPr/>
          <w:p>
            <w:pPr>
              <w:pStyle w:val="Compact"/>
            </w:pPr>
            <w:r>
              <w:t xml:space="preserve">Article 15 protects qualifying transit delay; unsafe travel pressure should be avoided.</w:t>
            </w:r>
          </w:p>
        </w:tc>
        <w:tc>
          <w:tcPr/>
          <w:p>
            <w:pPr>
              <w:pStyle w:val="Compact"/>
            </w:pPr>
            <w:r>
              <w:t xml:space="preserve">[F7]</w:t>
            </w:r>
          </w:p>
        </w:tc>
      </w:tr>
      <w:tr>
        <w:tc>
          <w:tcPr/>
          <w:p>
            <w:pPr>
              <w:pStyle w:val="Compact"/>
              <w:jc w:val="right"/>
            </w:pPr>
            <w:r>
              <w:t xml:space="preserve">12</w:t>
            </w:r>
          </w:p>
        </w:tc>
        <w:tc>
          <w:tcPr/>
          <w:p>
            <w:pPr>
              <w:pStyle w:val="Compact"/>
            </w:pPr>
            <w:r>
              <w:t xml:space="preserve">Plan remote work only for feasible administrative roles and maintain attendance/welfare contact with stranded crews.</w:t>
            </w:r>
          </w:p>
        </w:tc>
        <w:tc>
          <w:tcPr/>
          <w:p>
            <w:pPr>
              <w:pStyle w:val="Compact"/>
            </w:pPr>
            <w:r>
              <w:t xml:space="preserve">MOHRE calls for remote work where the nature of work allows, not for all construction tasks.</w:t>
            </w:r>
          </w:p>
        </w:tc>
        <w:tc>
          <w:tcPr/>
          <w:p>
            <w:pPr>
              <w:pStyle w:val="Compact"/>
            </w:pPr>
            <w:r>
              <w:t xml:space="preserve">[F6]</w:t>
            </w:r>
          </w:p>
        </w:tc>
      </w:tr>
      <w:tr>
        <w:tc>
          <w:tcPr/>
          <w:p>
            <w:pPr>
              <w:pStyle w:val="Compact"/>
              <w:jc w:val="right"/>
            </w:pPr>
            <w:r>
              <w:t xml:space="preserve">13</w:t>
            </w:r>
          </w:p>
        </w:tc>
        <w:tc>
          <w:tcPr/>
          <w:p>
            <w:pPr>
              <w:pStyle w:val="Compact"/>
            </w:pPr>
            <w:r>
              <w:t xml:space="preserve">Run and record at least one pre-season rain/flood drill with subcontractors and accommodation management.</w:t>
            </w:r>
          </w:p>
        </w:tc>
        <w:tc>
          <w:tcPr/>
          <w:p>
            <w:pPr>
              <w:pStyle w:val="Compact"/>
            </w:pPr>
            <w:r>
              <w:t xml:space="preserve">Business-continuity guidance expects exercises, reports and corrective action.</w:t>
            </w:r>
          </w:p>
        </w:tc>
        <w:tc>
          <w:tcPr/>
          <w:p>
            <w:pPr>
              <w:pStyle w:val="Compact"/>
            </w:pPr>
            <w:r>
              <w:t xml:space="preserve">[F14]</w:t>
            </w:r>
          </w:p>
        </w:tc>
      </w:tr>
      <w:tr>
        <w:tc>
          <w:tcPr/>
          <w:p>
            <w:pPr>
              <w:pStyle w:val="Compact"/>
              <w:jc w:val="right"/>
            </w:pPr>
            <w:r>
              <w:t xml:space="preserve">14</w:t>
            </w:r>
          </w:p>
        </w:tc>
        <w:tc>
          <w:tcPr/>
          <w:p>
            <w:pPr>
              <w:pStyle w:val="Compact"/>
            </w:pPr>
            <w:r>
              <w:t xml:space="preserve">Review the risk register after every significant event and close owners/dates for corrective actions.</w:t>
            </w:r>
          </w:p>
        </w:tc>
        <w:tc>
          <w:tcPr/>
          <w:p>
            <w:pPr>
              <w:pStyle w:val="Compact"/>
            </w:pPr>
            <w:r>
              <w:t xml:space="preserve">Recurring ponding and pump failures are measurable lessons, not one-off anecdotes.</w:t>
            </w:r>
          </w:p>
        </w:tc>
        <w:tc>
          <w:tcPr/>
          <w:p>
            <w:pPr>
              <w:pStyle w:val="Compact"/>
            </w:pPr>
            <w:r>
              <w:t xml:space="preserve">[F14; EV2]</w:t>
            </w:r>
          </w:p>
        </w:tc>
      </w:tr>
    </w:tbl>
    <w:bookmarkEnd w:id="14"/>
    <w:bookmarkStart w:id="15" w:name="drainage-flood-and-dewatering"/>
    <w:p>
      <w:pPr>
        <w:pStyle w:val="Heading3"/>
      </w:pPr>
      <w:r>
        <w:t xml:space="preserve">Drainage, Flood and Dewatering</w:t>
      </w:r>
    </w:p>
    <w:tbl>
      <w:tblPr>
        <w:tblStyle w:val="Table"/>
        <w:tblW w:type="pct" w:w="5000"/>
        <w:tblLayout w:type="fixed"/>
        <w:tblLook w:firstRow="1" w:lastRow="0" w:firstColumn="0" w:lastColumn="0" w:noHBand="0" w:noVBand="0" w:val="0020"/>
      </w:tblPr>
      <w:tblGrid>
        <w:gridCol w:w="2436"/>
        <w:gridCol w:w="1827"/>
        <w:gridCol w:w="1827"/>
        <w:gridCol w:w="1827"/>
      </w:tblGrid>
      <w:tr>
        <w:trPr>
          <w:tblHeader w:val="on"/>
        </w:trPr>
        <w:tc>
          <w:tcPr/>
          <w:p>
            <w:pPr>
              <w:pStyle w:val="Compact"/>
              <w:jc w:val="right"/>
            </w:pPr>
            <w:r>
              <w:t xml:space="preserve">No.</w:t>
            </w:r>
          </w:p>
        </w:tc>
        <w:tc>
          <w:tcPr/>
          <w:p>
            <w:pPr>
              <w:pStyle w:val="Compact"/>
            </w:pPr>
            <w:r>
              <w:t xml:space="preserve">Candidate point</w:t>
            </w:r>
          </w:p>
        </w:tc>
        <w:tc>
          <w:tcPr/>
          <w:p>
            <w:pPr>
              <w:pStyle w:val="Compact"/>
            </w:pPr>
            <w:r>
              <w:t xml:space="preserve">Rationale</w:t>
            </w:r>
          </w:p>
        </w:tc>
        <w:tc>
          <w:tcPr/>
          <w:p>
            <w:pPr>
              <w:pStyle w:val="Compact"/>
            </w:pPr>
            <w:r>
              <w:t xml:space="preserve">Source</w:t>
            </w:r>
          </w:p>
        </w:tc>
      </w:tr>
      <w:tr>
        <w:tc>
          <w:tcPr/>
          <w:p>
            <w:pPr>
              <w:pStyle w:val="Compact"/>
              <w:jc w:val="right"/>
            </w:pPr>
            <w:r>
              <w:t xml:space="preserve">15</w:t>
            </w:r>
          </w:p>
        </w:tc>
        <w:tc>
          <w:tcPr/>
          <w:p>
            <w:pPr>
              <w:pStyle w:val="Compact"/>
            </w:pPr>
            <w:r>
              <w:t xml:space="preserve">Maintain a surveyed site flood plan showing contours, low points, overland flow, inlets, manholes, culverts, sumps and receiving points.</w:t>
            </w:r>
          </w:p>
        </w:tc>
        <w:tc>
          <w:tcPr/>
          <w:p>
            <w:pPr>
              <w:pStyle w:val="Compact"/>
            </w:pPr>
            <w:r>
              <w:t xml:space="preserve">Pre-identifies paths by which water can reach people, plant, pits and public infrastructure.</w:t>
            </w:r>
          </w:p>
        </w:tc>
        <w:tc>
          <w:tcPr/>
          <w:p>
            <w:pPr>
              <w:pStyle w:val="Compact"/>
            </w:pPr>
            <w:r>
              <w:t xml:space="preserve">[AD1; T9]</w:t>
            </w:r>
          </w:p>
        </w:tc>
      </w:tr>
      <w:tr>
        <w:tc>
          <w:tcPr/>
          <w:p>
            <w:pPr>
              <w:pStyle w:val="Compact"/>
              <w:jc w:val="right"/>
            </w:pPr>
            <w:r>
              <w:t xml:space="preserve">16</w:t>
            </w:r>
          </w:p>
        </w:tc>
        <w:tc>
          <w:tcPr/>
          <w:p>
            <w:pPr>
              <w:pStyle w:val="Compact"/>
            </w:pPr>
            <w:r>
              <w:t xml:space="preserve">Verify approved drainage tie-ins, outfalls, invert levels and asset-owner/NOC conditions before wet-season changes.</w:t>
            </w:r>
          </w:p>
        </w:tc>
        <w:tc>
          <w:tcPr/>
          <w:p>
            <w:pPr>
              <w:pStyle w:val="Compact"/>
            </w:pPr>
            <w:r>
              <w:t xml:space="preserve">Public drainage is not an implied construction discharge point.</w:t>
            </w:r>
          </w:p>
        </w:tc>
        <w:tc>
          <w:tcPr/>
          <w:p>
            <w:pPr>
              <w:pStyle w:val="Compact"/>
            </w:pPr>
            <w:r>
              <w:t xml:space="preserve">[AD1; DB1]</w:t>
            </w:r>
          </w:p>
        </w:tc>
      </w:tr>
      <w:tr>
        <w:tc>
          <w:tcPr/>
          <w:p>
            <w:pPr>
              <w:pStyle w:val="Compact"/>
              <w:jc w:val="right"/>
            </w:pPr>
            <w:r>
              <w:t xml:space="preserve">17</w:t>
            </w:r>
          </w:p>
        </w:tc>
        <w:tc>
          <w:tcPr/>
          <w:p>
            <w:pPr>
              <w:pStyle w:val="Compact"/>
            </w:pPr>
            <w:r>
              <w:t xml:space="preserve">Keep current written dewatering approval/NOC, routed drawing, pump schedule and discharge conditions at the pump station.</w:t>
            </w:r>
          </w:p>
        </w:tc>
        <w:tc>
          <w:tcPr/>
          <w:p>
            <w:pPr>
              <w:pStyle w:val="Compact"/>
            </w:pPr>
            <w:r>
              <w:t xml:space="preserve">Authorities may control the pump, pipe, point and sedimentation arrangement.</w:t>
            </w:r>
          </w:p>
        </w:tc>
        <w:tc>
          <w:tcPr/>
          <w:p>
            <w:pPr>
              <w:pStyle w:val="Compact"/>
            </w:pPr>
            <w:r>
              <w:t xml:space="preserve">[EN1; DB3]</w:t>
            </w:r>
          </w:p>
        </w:tc>
      </w:tr>
      <w:tr>
        <w:tc>
          <w:tcPr/>
          <w:p>
            <w:pPr>
              <w:pStyle w:val="Compact"/>
              <w:jc w:val="right"/>
            </w:pPr>
            <w:r>
              <w:t xml:space="preserve">18</w:t>
            </w:r>
          </w:p>
        </w:tc>
        <w:tc>
          <w:tcPr/>
          <w:p>
            <w:pPr>
              <w:pStyle w:val="Compact"/>
            </w:pPr>
            <w:r>
              <w:t xml:space="preserve">Test duty and standby pumps, float switches, generator backup, hoses, couplings and non-return valves before forecast rain.</w:t>
            </w:r>
          </w:p>
        </w:tc>
        <w:tc>
          <w:tcPr/>
          <w:p>
            <w:pPr>
              <w:pStyle w:val="Compact"/>
            </w:pPr>
            <w:r>
              <w:t xml:space="preserve">Single-point pump failure can rapidly inundate a pit, basement or access route.</w:t>
            </w:r>
          </w:p>
        </w:tc>
        <w:tc>
          <w:tcPr/>
          <w:p>
            <w:pPr>
              <w:pStyle w:val="Compact"/>
            </w:pPr>
            <w:r>
              <w:t xml:space="preserve">[EV7; DB1]</w:t>
            </w:r>
          </w:p>
        </w:tc>
      </w:tr>
      <w:tr>
        <w:tc>
          <w:tcPr/>
          <w:p>
            <w:pPr>
              <w:pStyle w:val="Compact"/>
              <w:jc w:val="right"/>
            </w:pPr>
            <w:r>
              <w:t xml:space="preserve">19</w:t>
            </w:r>
          </w:p>
        </w:tc>
        <w:tc>
          <w:tcPr/>
          <w:p>
            <w:pPr>
              <w:pStyle w:val="Compact"/>
            </w:pPr>
            <w:r>
              <w:t xml:space="preserve">Provide protected, attended sumps with spare fuel and raised generator platforms.</w:t>
            </w:r>
          </w:p>
        </w:tc>
        <w:tc>
          <w:tcPr/>
          <w:p>
            <w:pPr>
              <w:pStyle w:val="Compact"/>
            </w:pPr>
            <w:r>
              <w:t xml:space="preserve">Maintains removal capacity without turning a pump or fuel system into a flood/pollution source.</w:t>
            </w:r>
          </w:p>
        </w:tc>
        <w:tc>
          <w:tcPr/>
          <w:p>
            <w:pPr>
              <w:pStyle w:val="Compact"/>
            </w:pPr>
            <w:r>
              <w:t xml:space="preserve">[AJ1; T9]</w:t>
            </w:r>
          </w:p>
        </w:tc>
      </w:tr>
      <w:tr>
        <w:tc>
          <w:tcPr/>
          <w:p>
            <w:pPr>
              <w:pStyle w:val="Compact"/>
              <w:jc w:val="right"/>
            </w:pPr>
            <w:r>
              <w:t xml:space="preserve">20</w:t>
            </w:r>
          </w:p>
        </w:tc>
        <w:tc>
          <w:tcPr/>
          <w:p>
            <w:pPr>
              <w:pStyle w:val="Compact"/>
            </w:pPr>
            <w:r>
              <w:t xml:space="preserve">Separate clean runoff from silty excavation water, oily water, concrete washout and sewage.</w:t>
            </w:r>
          </w:p>
        </w:tc>
        <w:tc>
          <w:tcPr/>
          <w:p>
            <w:pPr>
              <w:pStyle w:val="Compact"/>
            </w:pPr>
            <w:r>
              <w:t xml:space="preserve">Clear appearance is not proof that water is clean or lawful to discharge.</w:t>
            </w:r>
          </w:p>
        </w:tc>
        <w:tc>
          <w:tcPr/>
          <w:p>
            <w:pPr>
              <w:pStyle w:val="Compact"/>
            </w:pPr>
            <w:r>
              <w:t xml:space="preserve">[EN1; EN2]</w:t>
            </w:r>
          </w:p>
        </w:tc>
      </w:tr>
      <w:tr>
        <w:tc>
          <w:tcPr/>
          <w:p>
            <w:pPr>
              <w:pStyle w:val="Compact"/>
              <w:jc w:val="right"/>
            </w:pPr>
            <w:r>
              <w:t xml:space="preserve">21</w:t>
            </w:r>
          </w:p>
        </w:tc>
        <w:tc>
          <w:tcPr/>
          <w:p>
            <w:pPr>
              <w:pStyle w:val="Compact"/>
            </w:pPr>
            <w:r>
              <w:t xml:space="preserve">Pass approved dirty water through settlement/filtration and sample uncertain streams before discharge.</w:t>
            </w:r>
          </w:p>
        </w:tc>
        <w:tc>
          <w:tcPr/>
          <w:p>
            <w:pPr>
              <w:pStyle w:val="Compact"/>
            </w:pPr>
            <w:r>
              <w:t xml:space="preserve">Silt and contaminants block networks and pollute receptors; permits can require treatment/monitoring.</w:t>
            </w:r>
          </w:p>
        </w:tc>
        <w:tc>
          <w:tcPr/>
          <w:p>
            <w:pPr>
              <w:pStyle w:val="Compact"/>
            </w:pPr>
            <w:r>
              <w:t xml:space="preserve">[AD3; EN3]</w:t>
            </w:r>
          </w:p>
        </w:tc>
      </w:tr>
      <w:tr>
        <w:tc>
          <w:tcPr/>
          <w:p>
            <w:pPr>
              <w:pStyle w:val="Compact"/>
              <w:jc w:val="right"/>
            </w:pPr>
            <w:r>
              <w:t xml:space="preserve">22</w:t>
            </w:r>
          </w:p>
        </w:tc>
        <w:tc>
          <w:tcPr/>
          <w:p>
            <w:pPr>
              <w:pStyle w:val="Compact"/>
            </w:pPr>
            <w:r>
              <w:t xml:space="preserve">Prohibit ad-hoc discharge to storm drains, sewers, roads, wadis, beaches, marine waters or neighbouring plots.</w:t>
            </w:r>
          </w:p>
        </w:tc>
        <w:tc>
          <w:tcPr/>
          <w:p>
            <w:pPr>
              <w:pStyle w:val="Compact"/>
            </w:pPr>
            <w:r>
              <w:t xml:space="preserve">A project must obtain written approval for the receiving route; federal law prohibits polluting discharge.</w:t>
            </w:r>
          </w:p>
        </w:tc>
        <w:tc>
          <w:tcPr/>
          <w:p>
            <w:pPr>
              <w:pStyle w:val="Compact"/>
            </w:pPr>
            <w:r>
              <w:t xml:space="preserve">[F9; EN1]</w:t>
            </w:r>
          </w:p>
        </w:tc>
      </w:tr>
      <w:tr>
        <w:tc>
          <w:tcPr/>
          <w:p>
            <w:pPr>
              <w:pStyle w:val="Compact"/>
              <w:jc w:val="right"/>
            </w:pPr>
            <w:r>
              <w:t xml:space="preserve">23</w:t>
            </w:r>
          </w:p>
        </w:tc>
        <w:tc>
          <w:tcPr/>
          <w:p>
            <w:pPr>
              <w:pStyle w:val="Compact"/>
            </w:pPr>
            <w:r>
              <w:t xml:space="preserve">Install silt fences, inlet protection, check dams, sediment traps and covered-stockpile controls before bulk earthworks.</w:t>
            </w:r>
          </w:p>
        </w:tc>
        <w:tc>
          <w:tcPr/>
          <w:p>
            <w:pPr>
              <w:pStyle w:val="Compact"/>
            </w:pPr>
            <w:r>
              <w:t xml:space="preserve">Controls need capacity before the first runoff, not after sediment reaches public inlets.</w:t>
            </w:r>
          </w:p>
        </w:tc>
        <w:tc>
          <w:tcPr/>
          <w:p>
            <w:pPr>
              <w:pStyle w:val="Compact"/>
            </w:pPr>
            <w:r>
              <w:t xml:space="preserve">[T9; EN2]</w:t>
            </w:r>
          </w:p>
        </w:tc>
      </w:tr>
      <w:tr>
        <w:tc>
          <w:tcPr/>
          <w:p>
            <w:pPr>
              <w:pStyle w:val="Compact"/>
              <w:jc w:val="right"/>
            </w:pPr>
            <w:r>
              <w:t xml:space="preserve">24</w:t>
            </w:r>
          </w:p>
        </w:tc>
        <w:tc>
          <w:tcPr/>
          <w:p>
            <w:pPr>
              <w:pStyle w:val="Compact"/>
            </w:pPr>
            <w:r>
              <w:t xml:space="preserve">Desilt and inspect traps, drains and temporary channels before and after each significant event.</w:t>
            </w:r>
          </w:p>
        </w:tc>
        <w:tc>
          <w:tcPr/>
          <w:p>
            <w:pPr>
              <w:pStyle w:val="Compact"/>
            </w:pPr>
            <w:r>
              <w:t xml:space="preserve">Sediment capacity is finite and debris-blocked inlets worsen urban flooding.</w:t>
            </w:r>
          </w:p>
        </w:tc>
        <w:tc>
          <w:tcPr/>
          <w:p>
            <w:pPr>
              <w:pStyle w:val="Compact"/>
            </w:pPr>
            <w:r>
              <w:t xml:space="preserve">[EV4; EV7]</w:t>
            </w:r>
          </w:p>
        </w:tc>
      </w:tr>
      <w:tr>
        <w:tc>
          <w:tcPr/>
          <w:p>
            <w:pPr>
              <w:pStyle w:val="Compact"/>
              <w:jc w:val="right"/>
            </w:pPr>
            <w:r>
              <w:t xml:space="preserve">25</w:t>
            </w:r>
          </w:p>
        </w:tc>
        <w:tc>
          <w:tcPr/>
          <w:p>
            <w:pPr>
              <w:pStyle w:val="Compact"/>
            </w:pPr>
            <w:r>
              <w:t xml:space="preserve">Secure hoses against traffic, scour, disconnection and discharge at slope toes.</w:t>
            </w:r>
          </w:p>
        </w:tc>
        <w:tc>
          <w:tcPr/>
          <w:p>
            <w:pPr>
              <w:pStyle w:val="Compact"/>
            </w:pPr>
            <w:r>
              <w:t xml:space="preserve">Uncontrolled hose movement can erode ground, create trip hazards and redirect flooding.</w:t>
            </w:r>
          </w:p>
        </w:tc>
        <w:tc>
          <w:tcPr/>
          <w:p>
            <w:pPr>
              <w:pStyle w:val="Compact"/>
            </w:pPr>
            <w:r>
              <w:t xml:space="preserve">[T4; RK3]</w:t>
            </w:r>
          </w:p>
        </w:tc>
      </w:tr>
      <w:tr>
        <w:tc>
          <w:tcPr/>
          <w:p>
            <w:pPr>
              <w:pStyle w:val="Compact"/>
              <w:jc w:val="right"/>
            </w:pPr>
            <w:r>
              <w:t xml:space="preserve">26</w:t>
            </w:r>
          </w:p>
        </w:tc>
        <w:tc>
          <w:tcPr/>
          <w:p>
            <w:pPr>
              <w:pStyle w:val="Compact"/>
            </w:pPr>
            <w:r>
              <w:t xml:space="preserve">Fence basins, manholes and discharge points and provide warning signs/lighting.</w:t>
            </w:r>
          </w:p>
        </w:tc>
        <w:tc>
          <w:tcPr/>
          <w:p>
            <w:pPr>
              <w:pStyle w:val="Compact"/>
            </w:pPr>
            <w:r>
              <w:t xml:space="preserve">Protects workers and public from fall, drowning and moving-plant risks during pumping.</w:t>
            </w:r>
          </w:p>
        </w:tc>
        <w:tc>
          <w:tcPr/>
          <w:p>
            <w:pPr>
              <w:pStyle w:val="Compact"/>
            </w:pPr>
            <w:r>
              <w:t xml:space="preserve">[EN1; SH5]</w:t>
            </w:r>
          </w:p>
        </w:tc>
      </w:tr>
      <w:tr>
        <w:tc>
          <w:tcPr/>
          <w:p>
            <w:pPr>
              <w:pStyle w:val="Compact"/>
              <w:jc w:val="right"/>
            </w:pPr>
            <w:r>
              <w:t xml:space="preserve">27</w:t>
            </w:r>
          </w:p>
        </w:tc>
        <w:tc>
          <w:tcPr/>
          <w:p>
            <w:pPr>
              <w:pStyle w:val="Compact"/>
            </w:pPr>
            <w:r>
              <w:t xml:space="preserve">Stop pumping and investigate if a settlement basin leaks or infiltrates surrounding ground.</w:t>
            </w:r>
          </w:p>
        </w:tc>
        <w:tc>
          <w:tcPr/>
          <w:p>
            <w:pPr>
              <w:pStyle w:val="Compact"/>
            </w:pPr>
            <w:r>
              <w:t xml:space="preserve">Leakage can undermine ground and spread polluted water; Dubai Article 29 specifically requires suspension.</w:t>
            </w:r>
          </w:p>
        </w:tc>
        <w:tc>
          <w:tcPr/>
          <w:p>
            <w:pPr>
              <w:pStyle w:val="Compact"/>
            </w:pPr>
            <w:r>
              <w:t xml:space="preserve">[EN1]</w:t>
            </w:r>
          </w:p>
        </w:tc>
      </w:tr>
      <w:tr>
        <w:tc>
          <w:tcPr/>
          <w:p>
            <w:pPr>
              <w:pStyle w:val="Compact"/>
              <w:jc w:val="right"/>
            </w:pPr>
            <w:r>
              <w:t xml:space="preserve">28</w:t>
            </w:r>
          </w:p>
        </w:tc>
        <w:tc>
          <w:tcPr/>
          <w:p>
            <w:pPr>
              <w:pStyle w:val="Compact"/>
            </w:pPr>
            <w:r>
              <w:t xml:space="preserve">Arrange approved tanker/receiver contingency for water that cannot lawfully or safely be discharged.</w:t>
            </w:r>
          </w:p>
        </w:tc>
        <w:tc>
          <w:tcPr/>
          <w:p>
            <w:pPr>
              <w:pStyle w:val="Compact"/>
            </w:pPr>
            <w:r>
              <w:t xml:space="preserve">Contaminated water must not be transferred to the public system simply because a storm is active.</w:t>
            </w:r>
          </w:p>
        </w:tc>
        <w:tc>
          <w:tcPr/>
          <w:p>
            <w:pPr>
              <w:pStyle w:val="Compact"/>
            </w:pPr>
            <w:r>
              <w:t xml:space="preserve">[F9; F11]</w:t>
            </w:r>
          </w:p>
        </w:tc>
      </w:tr>
    </w:tbl>
    <w:bookmarkEnd w:id="15"/>
    <w:bookmarkStart w:id="16" w:name="Xcb6a4348a7e31ddc9652852103335c522aa9778"/>
    <w:p>
      <w:pPr>
        <w:pStyle w:val="Heading3"/>
      </w:pPr>
      <w:r>
        <w:t xml:space="preserve">Low-Lying Areas, Excavations and Ground Conditions</w:t>
      </w:r>
    </w:p>
    <w:tbl>
      <w:tblPr>
        <w:tblStyle w:val="Table"/>
        <w:tblW w:type="pct" w:w="5000"/>
        <w:tblLayout w:type="fixed"/>
        <w:tblLook w:firstRow="1" w:lastRow="0" w:firstColumn="0" w:lastColumn="0" w:noHBand="0" w:noVBand="0" w:val="0020"/>
      </w:tblPr>
      <w:tblGrid>
        <w:gridCol w:w="2436"/>
        <w:gridCol w:w="1827"/>
        <w:gridCol w:w="1827"/>
        <w:gridCol w:w="1827"/>
      </w:tblGrid>
      <w:tr>
        <w:trPr>
          <w:tblHeader w:val="on"/>
        </w:trPr>
        <w:tc>
          <w:tcPr/>
          <w:p>
            <w:pPr>
              <w:pStyle w:val="Compact"/>
              <w:jc w:val="right"/>
            </w:pPr>
            <w:r>
              <w:t xml:space="preserve">No.</w:t>
            </w:r>
          </w:p>
        </w:tc>
        <w:tc>
          <w:tcPr/>
          <w:p>
            <w:pPr>
              <w:pStyle w:val="Compact"/>
            </w:pPr>
            <w:r>
              <w:t xml:space="preserve">Candidate point</w:t>
            </w:r>
          </w:p>
        </w:tc>
        <w:tc>
          <w:tcPr/>
          <w:p>
            <w:pPr>
              <w:pStyle w:val="Compact"/>
            </w:pPr>
            <w:r>
              <w:t xml:space="preserve">Rationale</w:t>
            </w:r>
          </w:p>
        </w:tc>
        <w:tc>
          <w:tcPr/>
          <w:p>
            <w:pPr>
              <w:pStyle w:val="Compact"/>
            </w:pPr>
            <w:r>
              <w:t xml:space="preserve">Source</w:t>
            </w:r>
          </w:p>
        </w:tc>
      </w:tr>
      <w:tr>
        <w:tc>
          <w:tcPr/>
          <w:p>
            <w:pPr>
              <w:pStyle w:val="Compact"/>
              <w:jc w:val="right"/>
            </w:pPr>
            <w:r>
              <w:t xml:space="preserve">29</w:t>
            </w:r>
          </w:p>
        </w:tc>
        <w:tc>
          <w:tcPr/>
          <w:p>
            <w:pPr>
              <w:pStyle w:val="Compact"/>
            </w:pPr>
            <w:r>
              <w:t xml:space="preserve">Mark basements, ramps, lift pits, shafts, tunnels, low road crossings and drainage depressions as flood-sensitive zones.</w:t>
            </w:r>
          </w:p>
        </w:tc>
        <w:tc>
          <w:tcPr/>
          <w:p>
            <w:pPr>
              <w:pStyle w:val="Compact"/>
            </w:pPr>
            <w:r>
              <w:t xml:space="preserve">These concentrate inflow and can trap workers or critical equipment.</w:t>
            </w:r>
          </w:p>
        </w:tc>
        <w:tc>
          <w:tcPr/>
          <w:p>
            <w:pPr>
              <w:pStyle w:val="Compact"/>
            </w:pPr>
            <w:r>
              <w:t xml:space="preserve">[DB1; EV2]</w:t>
            </w:r>
          </w:p>
        </w:tc>
      </w:tr>
      <w:tr>
        <w:tc>
          <w:tcPr/>
          <w:p>
            <w:pPr>
              <w:pStyle w:val="Compact"/>
              <w:jc w:val="right"/>
            </w:pPr>
            <w:r>
              <w:t xml:space="preserve">30</w:t>
            </w:r>
          </w:p>
        </w:tc>
        <w:tc>
          <w:tcPr/>
          <w:p>
            <w:pPr>
              <w:pStyle w:val="Compact"/>
            </w:pPr>
            <w:r>
              <w:t xml:space="preserve">Set no-entry triggers for standing/accumulating water, visible runoff, pump failure, sloughing, cracking, bulging or loss of access.</w:t>
            </w:r>
          </w:p>
        </w:tc>
        <w:tc>
          <w:tcPr/>
          <w:p>
            <w:pPr>
              <w:pStyle w:val="Compact"/>
            </w:pPr>
            <w:r>
              <w:t xml:space="preserve">Each condition can indicate collapse, drowning or rescue risk.</w:t>
            </w:r>
          </w:p>
        </w:tc>
        <w:tc>
          <w:tcPr/>
          <w:p>
            <w:pPr>
              <w:pStyle w:val="Compact"/>
            </w:pPr>
            <w:r>
              <w:t xml:space="preserve">[T4; T5]</w:t>
            </w:r>
          </w:p>
        </w:tc>
      </w:tr>
      <w:tr>
        <w:tc>
          <w:tcPr/>
          <w:p>
            <w:pPr>
              <w:pStyle w:val="Compact"/>
              <w:jc w:val="right"/>
            </w:pPr>
            <w:r>
              <w:t xml:space="preserve">31</w:t>
            </w:r>
          </w:p>
        </w:tc>
        <w:tc>
          <w:tcPr/>
          <w:p>
            <w:pPr>
              <w:pStyle w:val="Compact"/>
            </w:pPr>
            <w:r>
              <w:t xml:space="preserve">Barricade flooded excavations and do not allow workers to gauge depth by wading or driving.</w:t>
            </w:r>
          </w:p>
        </w:tc>
        <w:tc>
          <w:tcPr/>
          <w:p>
            <w:pPr>
              <w:pStyle w:val="Compact"/>
            </w:pPr>
            <w:r>
              <w:t xml:space="preserve">Floodwater conceals drop-offs, live services, contaminated water and unstable soil.</w:t>
            </w:r>
          </w:p>
        </w:tc>
        <w:tc>
          <w:tcPr/>
          <w:p>
            <w:pPr>
              <w:pStyle w:val="Compact"/>
            </w:pPr>
            <w:r>
              <w:t xml:space="preserve">[F4; T5]</w:t>
            </w:r>
          </w:p>
        </w:tc>
      </w:tr>
      <w:tr>
        <w:tc>
          <w:tcPr/>
          <w:p>
            <w:pPr>
              <w:pStyle w:val="Compact"/>
              <w:jc w:val="right"/>
            </w:pPr>
            <w:r>
              <w:t xml:space="preserve">32</w:t>
            </w:r>
          </w:p>
        </w:tc>
        <w:tc>
          <w:tcPr/>
          <w:p>
            <w:pPr>
              <w:pStyle w:val="Compact"/>
            </w:pPr>
            <w:r>
              <w:t xml:space="preserve">Inspect excavation faces, shoring, trench boxes, edges, ladders, spoil setbacks and adjacent structures before shift and after a destabilising event.</w:t>
            </w:r>
          </w:p>
        </w:tc>
        <w:tc>
          <w:tcPr/>
          <w:p>
            <w:pPr>
              <w:pStyle w:val="Compact"/>
            </w:pPr>
            <w:r>
              <w:t xml:space="preserve">Water changes ground strength; ADOSH/HSE/OSHA all require competent reinspection principles.</w:t>
            </w:r>
          </w:p>
        </w:tc>
        <w:tc>
          <w:tcPr/>
          <w:p>
            <w:pPr>
              <w:pStyle w:val="Compact"/>
            </w:pPr>
            <w:r>
              <w:t xml:space="preserve">[AD3; T4; T5]</w:t>
            </w:r>
          </w:p>
        </w:tc>
      </w:tr>
      <w:tr>
        <w:tc>
          <w:tcPr/>
          <w:p>
            <w:pPr>
              <w:pStyle w:val="Compact"/>
              <w:jc w:val="right"/>
            </w:pPr>
            <w:r>
              <w:t xml:space="preserve">33</w:t>
            </w:r>
          </w:p>
        </w:tc>
        <w:tc>
          <w:tcPr/>
          <w:p>
            <w:pPr>
              <w:pStyle w:val="Compact"/>
            </w:pPr>
            <w:r>
              <w:t xml:space="preserve">Keep spoil, vehicles, cranes and stockpiles outside engineered edge-exclusion distances.</w:t>
            </w:r>
          </w:p>
        </w:tc>
        <w:tc>
          <w:tcPr/>
          <w:p>
            <w:pPr>
              <w:pStyle w:val="Compact"/>
            </w:pPr>
            <w:r>
              <w:t xml:space="preserve">Surcharge combined with saturated soil can cause edge failure or collapse.</w:t>
            </w:r>
          </w:p>
        </w:tc>
        <w:tc>
          <w:tcPr/>
          <w:p>
            <w:pPr>
              <w:pStyle w:val="Compact"/>
            </w:pPr>
            <w:r>
              <w:t xml:space="preserve">[RK3; T4]</w:t>
            </w:r>
          </w:p>
        </w:tc>
      </w:tr>
      <w:tr>
        <w:tc>
          <w:tcPr/>
          <w:p>
            <w:pPr>
              <w:pStyle w:val="Compact"/>
              <w:jc w:val="right"/>
            </w:pPr>
            <w:r>
              <w:t xml:space="preserve">34</w:t>
            </w:r>
          </w:p>
        </w:tc>
        <w:tc>
          <w:tcPr/>
          <w:p>
            <w:pPr>
              <w:pStyle w:val="Compact"/>
            </w:pPr>
            <w:r>
              <w:t xml:space="preserve">Obtain a geotechnical/temporary-works review before changing support, batter, haul road, platform or dewatering arrangement after rain.</w:t>
            </w:r>
          </w:p>
        </w:tc>
        <w:tc>
          <w:tcPr/>
          <w:p>
            <w:pPr>
              <w:pStyle w:val="Compact"/>
            </w:pPr>
            <w:r>
              <w:t xml:space="preserve">Improvised wet-weather changes invalidate design assumptions and may transfer failure to adjacent property.</w:t>
            </w:r>
          </w:p>
        </w:tc>
        <w:tc>
          <w:tcPr/>
          <w:p>
            <w:pPr>
              <w:pStyle w:val="Compact"/>
            </w:pPr>
            <w:r>
              <w:t xml:space="preserve">[T4; RK3]</w:t>
            </w:r>
          </w:p>
        </w:tc>
      </w:tr>
      <w:tr>
        <w:tc>
          <w:tcPr/>
          <w:p>
            <w:pPr>
              <w:pStyle w:val="Compact"/>
              <w:jc w:val="right"/>
            </w:pPr>
            <w:r>
              <w:t xml:space="preserve">35</w:t>
            </w:r>
          </w:p>
        </w:tc>
        <w:tc>
          <w:tcPr/>
          <w:p>
            <w:pPr>
              <w:pStyle w:val="Compact"/>
            </w:pPr>
            <w:r>
              <w:t xml:space="preserve">Maintain safe escape ladders/ramps above credible flood level and keep them clear.</w:t>
            </w:r>
          </w:p>
        </w:tc>
        <w:tc>
          <w:tcPr/>
          <w:p>
            <w:pPr>
              <w:pStyle w:val="Compact"/>
            </w:pPr>
            <w:r>
              <w:t xml:space="preserve">A flood can remove the normal exit before a worker reaches it.</w:t>
            </w:r>
          </w:p>
        </w:tc>
        <w:tc>
          <w:tcPr/>
          <w:p>
            <w:pPr>
              <w:pStyle w:val="Compact"/>
            </w:pPr>
            <w:r>
              <w:t xml:space="preserve">[AD3; T5]</w:t>
            </w:r>
          </w:p>
        </w:tc>
      </w:tr>
      <w:tr>
        <w:tc>
          <w:tcPr/>
          <w:p>
            <w:pPr>
              <w:pStyle w:val="Compact"/>
              <w:jc w:val="right"/>
            </w:pPr>
            <w:r>
              <w:t xml:space="preserve">36</w:t>
            </w:r>
          </w:p>
        </w:tc>
        <w:tc>
          <w:tcPr/>
          <w:p>
            <w:pPr>
              <w:pStyle w:val="Compact"/>
            </w:pPr>
            <w:r>
              <w:t xml:space="preserve">Treat flooded shafts, manholes, tanks and storm drains as confined spaces: isolate inflows, test atmosphere, provide attendant and non-entry rescue.</w:t>
            </w:r>
          </w:p>
        </w:tc>
        <w:tc>
          <w:tcPr/>
          <w:p>
            <w:pPr>
              <w:pStyle w:val="Compact"/>
            </w:pPr>
            <w:r>
              <w:t xml:space="preserve">Rain/sewage can create rapidly rising water and hazardous atmosphere.</w:t>
            </w:r>
          </w:p>
        </w:tc>
        <w:tc>
          <w:tcPr/>
          <w:p>
            <w:pPr>
              <w:pStyle w:val="Compact"/>
            </w:pPr>
            <w:r>
              <w:t xml:space="preserve">[T7]</w:t>
            </w:r>
          </w:p>
        </w:tc>
      </w:tr>
      <w:tr>
        <w:tc>
          <w:tcPr/>
          <w:p>
            <w:pPr>
              <w:pStyle w:val="Compact"/>
              <w:jc w:val="right"/>
            </w:pPr>
            <w:r>
              <w:t xml:space="preserve">37</w:t>
            </w:r>
          </w:p>
        </w:tc>
        <w:tc>
          <w:tcPr/>
          <w:p>
            <w:pPr>
              <w:pStyle w:val="Compact"/>
            </w:pPr>
            <w:r>
              <w:t xml:space="preserve">Do not allow rescue entry into a rising-water confined space; call emergency services and use planned rescue controls.</w:t>
            </w:r>
          </w:p>
        </w:tc>
        <w:tc>
          <w:tcPr/>
          <w:p>
            <w:pPr>
              <w:pStyle w:val="Compact"/>
            </w:pPr>
            <w:r>
              <w:t xml:space="preserve">Improvised rescuers are at high risk of multiple fatalities.</w:t>
            </w:r>
          </w:p>
        </w:tc>
        <w:tc>
          <w:tcPr/>
          <w:p>
            <w:pPr>
              <w:pStyle w:val="Compact"/>
            </w:pPr>
            <w:r>
              <w:t xml:space="preserve">[T7; F12]</w:t>
            </w:r>
          </w:p>
        </w:tc>
      </w:tr>
      <w:tr>
        <w:tc>
          <w:tcPr/>
          <w:p>
            <w:pPr>
              <w:pStyle w:val="Compact"/>
              <w:jc w:val="right"/>
            </w:pPr>
            <w:r>
              <w:t xml:space="preserve">38</w:t>
            </w:r>
          </w:p>
        </w:tc>
        <w:tc>
          <w:tcPr/>
          <w:p>
            <w:pPr>
              <w:pStyle w:val="Compact"/>
            </w:pPr>
            <w:r>
              <w:t xml:space="preserve">Recheck crane mats, scaffold bases, temporary roads and MEWP platforms for bearing, washout and settlement after saturation.</w:t>
            </w:r>
          </w:p>
        </w:tc>
        <w:tc>
          <w:tcPr/>
          <w:p>
            <w:pPr>
              <w:pStyle w:val="Compact"/>
            </w:pPr>
            <w:r>
              <w:t xml:space="preserve">Surface appearance can conceal a soft or undermined layer.</w:t>
            </w:r>
          </w:p>
        </w:tc>
        <w:tc>
          <w:tcPr/>
          <w:p>
            <w:pPr>
              <w:pStyle w:val="Compact"/>
            </w:pPr>
            <w:r>
              <w:t xml:space="preserve">[T4; EV2]</w:t>
            </w:r>
          </w:p>
        </w:tc>
      </w:tr>
      <w:tr>
        <w:tc>
          <w:tcPr/>
          <w:p>
            <w:pPr>
              <w:pStyle w:val="Compact"/>
              <w:jc w:val="right"/>
            </w:pPr>
            <w:r>
              <w:t xml:space="preserve">39</w:t>
            </w:r>
          </w:p>
        </w:tc>
        <w:tc>
          <w:tcPr/>
          <w:p>
            <w:pPr>
              <w:pStyle w:val="Compact"/>
            </w:pPr>
            <w:r>
              <w:t xml:space="preserve">For RAK open excavations, verify soil-report slope design; do not exceed 30 degrees unless an approved design permits it.</w:t>
            </w:r>
          </w:p>
        </w:tc>
        <w:tc>
          <w:tcPr/>
          <w:p>
            <w:pPr>
              <w:pStyle w:val="Compact"/>
            </w:pPr>
            <w:r>
              <w:t xml:space="preserve">RAK structural regulations give a specific maximum baseline.</w:t>
            </w:r>
          </w:p>
        </w:tc>
        <w:tc>
          <w:tcPr/>
          <w:p>
            <w:pPr>
              <w:pStyle w:val="Compact"/>
            </w:pPr>
            <w:r>
              <w:t xml:space="preserve">[RK3]</w:t>
            </w:r>
          </w:p>
        </w:tc>
      </w:tr>
      <w:tr>
        <w:tc>
          <w:tcPr/>
          <w:p>
            <w:pPr>
              <w:pStyle w:val="Compact"/>
              <w:jc w:val="right"/>
            </w:pPr>
            <w:r>
              <w:t xml:space="preserve">40</w:t>
            </w:r>
          </w:p>
        </w:tc>
        <w:tc>
          <w:tcPr/>
          <w:p>
            <w:pPr>
              <w:pStyle w:val="Compact"/>
            </w:pPr>
            <w:r>
              <w:t xml:space="preserve">For RAK groundwater above formation level, dewater in accordance with the approved design to at least 1 m below target level before excavation.</w:t>
            </w:r>
          </w:p>
        </w:tc>
        <w:tc>
          <w:tcPr/>
          <w:p>
            <w:pPr>
              <w:pStyle w:val="Compact"/>
            </w:pPr>
            <w:r>
              <w:t xml:space="preserve">This is a RAK structural-regulation requirement; it does not waive storm stop-work controls.</w:t>
            </w:r>
          </w:p>
        </w:tc>
        <w:tc>
          <w:tcPr/>
          <w:p>
            <w:pPr>
              <w:pStyle w:val="Compact"/>
            </w:pPr>
            <w:r>
              <w:t xml:space="preserve">[RK3]</w:t>
            </w:r>
          </w:p>
        </w:tc>
      </w:tr>
      <w:tr>
        <w:tc>
          <w:tcPr/>
          <w:p>
            <w:pPr>
              <w:pStyle w:val="Compact"/>
              <w:jc w:val="right"/>
            </w:pPr>
            <w:r>
              <w:t xml:space="preserve">41</w:t>
            </w:r>
          </w:p>
        </w:tc>
        <w:tc>
          <w:tcPr/>
          <w:p>
            <w:pPr>
              <w:pStyle w:val="Compact"/>
            </w:pPr>
            <w:r>
              <w:t xml:space="preserve">For wadi/mountain sites, map upstream catchment, valley mouths, culverts and safe high ground, even if rain at the plot is light.</w:t>
            </w:r>
          </w:p>
        </w:tc>
        <w:tc>
          <w:tcPr/>
          <w:p>
            <w:pPr>
              <w:pStyle w:val="Compact"/>
            </w:pPr>
            <w:r>
              <w:t xml:space="preserve">Runoff can arrive from storms outside the immediate worksite.</w:t>
            </w:r>
          </w:p>
        </w:tc>
        <w:tc>
          <w:tcPr/>
          <w:p>
            <w:pPr>
              <w:pStyle w:val="Compact"/>
            </w:pPr>
            <w:r>
              <w:t xml:space="preserve">[RK7; FU2]</w:t>
            </w:r>
          </w:p>
        </w:tc>
      </w:tr>
      <w:tr>
        <w:tc>
          <w:tcPr/>
          <w:p>
            <w:pPr>
              <w:pStyle w:val="Compact"/>
              <w:jc w:val="right"/>
            </w:pPr>
            <w:r>
              <w:t xml:space="preserve">42</w:t>
            </w:r>
          </w:p>
        </w:tc>
        <w:tc>
          <w:tcPr/>
          <w:p>
            <w:pPr>
              <w:pStyle w:val="Compact"/>
            </w:pPr>
            <w:r>
              <w:t xml:space="preserve">Keep laydown, parking and worker routes out of wadis, culvert approaches and likely flow paths.</w:t>
            </w:r>
          </w:p>
        </w:tc>
        <w:tc>
          <w:tcPr/>
          <w:p>
            <w:pPr>
              <w:pStyle w:val="Compact"/>
            </w:pPr>
            <w:r>
              <w:t xml:space="preserve">Rapid flow and debris can overtake people/plant and block emergency access.</w:t>
            </w:r>
          </w:p>
        </w:tc>
        <w:tc>
          <w:tcPr/>
          <w:p>
            <w:pPr>
              <w:pStyle w:val="Compact"/>
            </w:pPr>
            <w:r>
              <w:t xml:space="preserve">[F4; RK7]</w:t>
            </w:r>
          </w:p>
        </w:tc>
      </w:tr>
    </w:tbl>
    <w:bookmarkEnd w:id="16"/>
    <w:bookmarkStart w:id="17" w:name="electrical-safety-and-temporary-power"/>
    <w:p>
      <w:pPr>
        <w:pStyle w:val="Heading3"/>
      </w:pPr>
      <w:r>
        <w:t xml:space="preserve">Electrical Safety and Temporary Power</w:t>
      </w:r>
    </w:p>
    <w:tbl>
      <w:tblPr>
        <w:tblStyle w:val="Table"/>
        <w:tblW w:type="pct" w:w="5000"/>
        <w:tblLayout w:type="fixed"/>
        <w:tblLook w:firstRow="1" w:lastRow="0" w:firstColumn="0" w:lastColumn="0" w:noHBand="0" w:noVBand="0" w:val="0020"/>
      </w:tblPr>
      <w:tblGrid>
        <w:gridCol w:w="2436"/>
        <w:gridCol w:w="1827"/>
        <w:gridCol w:w="1827"/>
        <w:gridCol w:w="1827"/>
      </w:tblGrid>
      <w:tr>
        <w:trPr>
          <w:tblHeader w:val="on"/>
        </w:trPr>
        <w:tc>
          <w:tcPr/>
          <w:p>
            <w:pPr>
              <w:pStyle w:val="Compact"/>
              <w:jc w:val="right"/>
            </w:pPr>
            <w:r>
              <w:t xml:space="preserve">No.</w:t>
            </w:r>
          </w:p>
        </w:tc>
        <w:tc>
          <w:tcPr/>
          <w:p>
            <w:pPr>
              <w:pStyle w:val="Compact"/>
            </w:pPr>
            <w:r>
              <w:t xml:space="preserve">Candidate point</w:t>
            </w:r>
          </w:p>
        </w:tc>
        <w:tc>
          <w:tcPr/>
          <w:p>
            <w:pPr>
              <w:pStyle w:val="Compact"/>
            </w:pPr>
            <w:r>
              <w:t xml:space="preserve">Rationale</w:t>
            </w:r>
          </w:p>
        </w:tc>
        <w:tc>
          <w:tcPr/>
          <w:p>
            <w:pPr>
              <w:pStyle w:val="Compact"/>
            </w:pPr>
            <w:r>
              <w:t xml:space="preserve">Source</w:t>
            </w:r>
          </w:p>
        </w:tc>
      </w:tr>
      <w:tr>
        <w:tc>
          <w:tcPr/>
          <w:p>
            <w:pPr>
              <w:pStyle w:val="Compact"/>
              <w:jc w:val="right"/>
            </w:pPr>
            <w:r>
              <w:t xml:space="preserve">43</w:t>
            </w:r>
          </w:p>
        </w:tc>
        <w:tc>
          <w:tcPr/>
          <w:p>
            <w:pPr>
              <w:pStyle w:val="Compact"/>
            </w:pPr>
            <w:r>
              <w:t xml:space="preserve">Maintain a current, controlled single-line diagram for all temporary distribution and isolation points.</w:t>
            </w:r>
          </w:p>
        </w:tc>
        <w:tc>
          <w:tcPr/>
          <w:p>
            <w:pPr>
              <w:pStyle w:val="Compact"/>
            </w:pPr>
            <w:r>
              <w:t xml:space="preserve">Rapid isolation and post-event testing are impossible when circuits are not traceable.</w:t>
            </w:r>
          </w:p>
        </w:tc>
        <w:tc>
          <w:tcPr/>
          <w:p>
            <w:pPr>
              <w:pStyle w:val="Compact"/>
            </w:pPr>
            <w:r>
              <w:t xml:space="preserve">[T1; T2]</w:t>
            </w:r>
          </w:p>
        </w:tc>
      </w:tr>
      <w:tr>
        <w:tc>
          <w:tcPr/>
          <w:p>
            <w:pPr>
              <w:pStyle w:val="Compact"/>
              <w:jc w:val="right"/>
            </w:pPr>
            <w:r>
              <w:t xml:space="preserve">44</w:t>
            </w:r>
          </w:p>
        </w:tc>
        <w:tc>
          <w:tcPr/>
          <w:p>
            <w:pPr>
              <w:pStyle w:val="Compact"/>
            </w:pPr>
            <w:r>
              <w:t xml:space="preserve">Elevate boards, generators, transformers, welders, joints and reels above the credible flood/ponding level.</w:t>
            </w:r>
          </w:p>
        </w:tc>
        <w:tc>
          <w:tcPr/>
          <w:p>
            <w:pPr>
              <w:pStyle w:val="Compact"/>
            </w:pPr>
            <w:r>
              <w:t xml:space="preserve">Reduces water ingress, shock, fire and equipment-failure risk.</w:t>
            </w:r>
          </w:p>
        </w:tc>
        <w:tc>
          <w:tcPr/>
          <w:p>
            <w:pPr>
              <w:pStyle w:val="Compact"/>
            </w:pPr>
            <w:r>
              <w:t xml:space="preserve">[AD4; DB5]</w:t>
            </w:r>
          </w:p>
        </w:tc>
      </w:tr>
      <w:tr>
        <w:tc>
          <w:tcPr/>
          <w:p>
            <w:pPr>
              <w:pStyle w:val="Compact"/>
              <w:jc w:val="right"/>
            </w:pPr>
            <w:r>
              <w:t xml:space="preserve">45</w:t>
            </w:r>
          </w:p>
        </w:tc>
        <w:tc>
          <w:tcPr/>
          <w:p>
            <w:pPr>
              <w:pStyle w:val="Compact"/>
            </w:pPr>
            <w:r>
              <w:t xml:space="preserve">Use enclosures, couplers and cable routes suitable for the actual wet exposure; keep joints out of puddles and traffic.</w:t>
            </w:r>
          </w:p>
        </w:tc>
        <w:tc>
          <w:tcPr/>
          <w:p>
            <w:pPr>
              <w:pStyle w:val="Compact"/>
            </w:pPr>
            <w:r>
              <w:t xml:space="preserve">An IP label does not make damaged or immersed equipment safe.</w:t>
            </w:r>
          </w:p>
        </w:tc>
        <w:tc>
          <w:tcPr/>
          <w:p>
            <w:pPr>
              <w:pStyle w:val="Compact"/>
            </w:pPr>
            <w:r>
              <w:t xml:space="preserve">[T1; T2]</w:t>
            </w:r>
          </w:p>
        </w:tc>
      </w:tr>
      <w:tr>
        <w:tc>
          <w:tcPr/>
          <w:p>
            <w:pPr>
              <w:pStyle w:val="Compact"/>
              <w:jc w:val="right"/>
            </w:pPr>
            <w:r>
              <w:t xml:space="preserve">46</w:t>
            </w:r>
          </w:p>
        </w:tc>
        <w:tc>
          <w:tcPr/>
          <w:p>
            <w:pPr>
              <w:pStyle w:val="Compact"/>
            </w:pPr>
            <w:r>
              <w:t xml:space="preserve">Provide suitable RCD/RCBO/GFCI protection, earthing/bonding and routine functional testing.</w:t>
            </w:r>
          </w:p>
        </w:tc>
        <w:tc>
          <w:tcPr/>
          <w:p>
            <w:pPr>
              <w:pStyle w:val="Compact"/>
            </w:pPr>
            <w:r>
              <w:t xml:space="preserve">Residual-current protection complements, but never replaces, earthing and inspection.</w:t>
            </w:r>
          </w:p>
        </w:tc>
        <w:tc>
          <w:tcPr/>
          <w:p>
            <w:pPr>
              <w:pStyle w:val="Compact"/>
            </w:pPr>
            <w:r>
              <w:t xml:space="preserve">[AD4; T1]</w:t>
            </w:r>
          </w:p>
        </w:tc>
      </w:tr>
      <w:tr>
        <w:tc>
          <w:tcPr/>
          <w:p>
            <w:pPr>
              <w:pStyle w:val="Compact"/>
              <w:jc w:val="right"/>
            </w:pPr>
            <w:r>
              <w:t xml:space="preserve">47</w:t>
            </w:r>
          </w:p>
        </w:tc>
        <w:tc>
          <w:tcPr/>
          <w:p>
            <w:pPr>
              <w:pStyle w:val="Compact"/>
            </w:pPr>
            <w:r>
              <w:t xml:space="preserve">In Abu Dhabi, verify ADOSH temporary 110 V construction-supply requirements and RCD protection so far as reasonably practicable.</w:t>
            </w:r>
          </w:p>
        </w:tc>
        <w:tc>
          <w:tcPr/>
          <w:p>
            <w:pPr>
              <w:pStyle w:val="Compact"/>
            </w:pPr>
            <w:r>
              <w:t xml:space="preserve">This is an Abu Dhabi-specific control and should not be assumed to be a UAE-wide rule.</w:t>
            </w:r>
          </w:p>
        </w:tc>
        <w:tc>
          <w:tcPr/>
          <w:p>
            <w:pPr>
              <w:pStyle w:val="Compact"/>
            </w:pPr>
            <w:r>
              <w:t xml:space="preserve">[AD4]</w:t>
            </w:r>
          </w:p>
        </w:tc>
      </w:tr>
      <w:tr>
        <w:tc>
          <w:tcPr/>
          <w:p>
            <w:pPr>
              <w:pStyle w:val="Compact"/>
              <w:jc w:val="right"/>
            </w:pPr>
            <w:r>
              <w:t xml:space="preserve">48</w:t>
            </w:r>
          </w:p>
        </w:tc>
        <w:tc>
          <w:tcPr/>
          <w:p>
            <w:pPr>
              <w:pStyle w:val="Compact"/>
            </w:pPr>
            <w:r>
              <w:t xml:space="preserve">Use only authority-approved temporary connections and registered/competent electrical contractors where required.</w:t>
            </w:r>
          </w:p>
        </w:tc>
        <w:tc>
          <w:tcPr/>
          <w:p>
            <w:pPr>
              <w:pStyle w:val="Compact"/>
            </w:pPr>
            <w:r>
              <w:t xml:space="preserve">Utility/free-zone approval is separate from a contractor’s internal HSE inspection.</w:t>
            </w:r>
          </w:p>
        </w:tc>
        <w:tc>
          <w:tcPr/>
          <w:p>
            <w:pPr>
              <w:pStyle w:val="Compact"/>
            </w:pPr>
            <w:r>
              <w:t xml:space="preserve">[SH4; RK6; FU4]</w:t>
            </w:r>
          </w:p>
        </w:tc>
      </w:tr>
      <w:tr>
        <w:tc>
          <w:tcPr/>
          <w:p>
            <w:pPr>
              <w:pStyle w:val="Compact"/>
              <w:jc w:val="right"/>
            </w:pPr>
            <w:r>
              <w:t xml:space="preserve">49</w:t>
            </w:r>
          </w:p>
        </w:tc>
        <w:tc>
          <w:tcPr/>
          <w:p>
            <w:pPr>
              <w:pStyle w:val="Compact"/>
            </w:pPr>
            <w:r>
              <w:t xml:space="preserve">Isolate, lock/tag and prove dead any flooded or water-affected circuit before access or drying.</w:t>
            </w:r>
          </w:p>
        </w:tc>
        <w:tc>
          <w:tcPr/>
          <w:p>
            <w:pPr>
              <w:pStyle w:val="Compact"/>
            </w:pPr>
            <w:r>
              <w:t xml:space="preserve">Wet equipment can remain energised; a trip or power loss is not proof of isolation.</w:t>
            </w:r>
          </w:p>
        </w:tc>
        <w:tc>
          <w:tcPr/>
          <w:p>
            <w:pPr>
              <w:pStyle w:val="Compact"/>
            </w:pPr>
            <w:r>
              <w:t xml:space="preserve">[DB5; T2]</w:t>
            </w:r>
          </w:p>
        </w:tc>
      </w:tr>
      <w:tr>
        <w:tc>
          <w:tcPr/>
          <w:p>
            <w:pPr>
              <w:pStyle w:val="Compact"/>
              <w:jc w:val="right"/>
            </w:pPr>
            <w:r>
              <w:t xml:space="preserve">50</w:t>
            </w:r>
          </w:p>
        </w:tc>
        <w:tc>
          <w:tcPr/>
          <w:p>
            <w:pPr>
              <w:pStyle w:val="Compact"/>
            </w:pPr>
            <w:r>
              <w:t xml:space="preserve">Quarantine submerged equipment of unknown condition; test, repair or replace it before return to service.</w:t>
            </w:r>
          </w:p>
        </w:tc>
        <w:tc>
          <w:tcPr/>
          <w:p>
            <w:pPr>
              <w:pStyle w:val="Compact"/>
            </w:pPr>
            <w:r>
              <w:t xml:space="preserve">Drying alone does not establish insulation, earthing, enclosure or downstream integrity.</w:t>
            </w:r>
          </w:p>
        </w:tc>
        <w:tc>
          <w:tcPr/>
          <w:p>
            <w:pPr>
              <w:pStyle w:val="Compact"/>
            </w:pPr>
            <w:r>
              <w:t xml:space="preserve">[T3; DB5]</w:t>
            </w:r>
          </w:p>
        </w:tc>
      </w:tr>
      <w:tr>
        <w:tc>
          <w:tcPr/>
          <w:p>
            <w:pPr>
              <w:pStyle w:val="Compact"/>
              <w:jc w:val="right"/>
            </w:pPr>
            <w:r>
              <w:t xml:space="preserve">51</w:t>
            </w:r>
          </w:p>
        </w:tc>
        <w:tc>
          <w:tcPr/>
          <w:p>
            <w:pPr>
              <w:pStyle w:val="Compact"/>
            </w:pPr>
            <w:r>
              <w:t xml:space="preserve">Require a competent electrician’s recorded inspection and test before re-energisation after water ingress.</w:t>
            </w:r>
          </w:p>
        </w:tc>
        <w:tc>
          <w:tcPr/>
          <w:p>
            <w:pPr>
              <w:pStyle w:val="Compact"/>
            </w:pPr>
            <w:r>
              <w:t xml:space="preserve">Post-event return to service requires a positive technical acceptance.</w:t>
            </w:r>
          </w:p>
        </w:tc>
        <w:tc>
          <w:tcPr/>
          <w:p>
            <w:pPr>
              <w:pStyle w:val="Compact"/>
            </w:pPr>
            <w:r>
              <w:t xml:space="preserve">[DB6; T3]</w:t>
            </w:r>
          </w:p>
        </w:tc>
      </w:tr>
      <w:tr>
        <w:tc>
          <w:tcPr/>
          <w:p>
            <w:pPr>
              <w:pStyle w:val="Compact"/>
              <w:jc w:val="right"/>
            </w:pPr>
            <w:r>
              <w:t xml:space="preserve">52</w:t>
            </w:r>
          </w:p>
        </w:tc>
        <w:tc>
          <w:tcPr/>
          <w:p>
            <w:pPr>
              <w:pStyle w:val="Compact"/>
            </w:pPr>
            <w:r>
              <w:t xml:space="preserve">Keep cable crossings protected, raised where practicable and clear of flood routes; inspect plugs/leads after rain.</w:t>
            </w:r>
          </w:p>
        </w:tc>
        <w:tc>
          <w:tcPr/>
          <w:p>
            <w:pPr>
              <w:pStyle w:val="Compact"/>
            </w:pPr>
            <w:r>
              <w:t xml:space="preserve">Standing water and vehicle damage combine to create shock and fire risk.</w:t>
            </w:r>
          </w:p>
        </w:tc>
        <w:tc>
          <w:tcPr/>
          <w:p>
            <w:pPr>
              <w:pStyle w:val="Compact"/>
            </w:pPr>
            <w:r>
              <w:t xml:space="preserve">[AD4; T2]</w:t>
            </w:r>
          </w:p>
        </w:tc>
      </w:tr>
      <w:tr>
        <w:tc>
          <w:tcPr/>
          <w:p>
            <w:pPr>
              <w:pStyle w:val="Compact"/>
              <w:jc w:val="right"/>
            </w:pPr>
            <w:r>
              <w:t xml:space="preserve">53</w:t>
            </w:r>
          </w:p>
        </w:tc>
        <w:tc>
          <w:tcPr/>
          <w:p>
            <w:pPr>
              <w:pStyle w:val="Compact"/>
            </w:pPr>
            <w:r>
              <w:t xml:space="preserve">Suspend exposed electrical work during lightning and take shelter away from metal/electrical contact.</w:t>
            </w:r>
          </w:p>
        </w:tc>
        <w:tc>
          <w:tcPr/>
          <w:p>
            <w:pPr>
              <w:pStyle w:val="Compact"/>
            </w:pPr>
            <w:r>
              <w:t xml:space="preserve">NCEMA warns lightning can damage equipment and cause direct electrical hazards.</w:t>
            </w:r>
          </w:p>
        </w:tc>
        <w:tc>
          <w:tcPr/>
          <w:p>
            <w:pPr>
              <w:pStyle w:val="Compact"/>
            </w:pPr>
            <w:r>
              <w:t xml:space="preserve">[F4]</w:t>
            </w:r>
          </w:p>
        </w:tc>
      </w:tr>
      <w:tr>
        <w:tc>
          <w:tcPr/>
          <w:p>
            <w:pPr>
              <w:pStyle w:val="Compact"/>
              <w:jc w:val="right"/>
            </w:pPr>
            <w:r>
              <w:t xml:space="preserve">54</w:t>
            </w:r>
          </w:p>
        </w:tc>
        <w:tc>
          <w:tcPr/>
          <w:p>
            <w:pPr>
              <w:pStyle w:val="Compact"/>
            </w:pPr>
            <w:r>
              <w:t xml:space="preserve">Inspect lightning protection, earthing and tall temporary works/tower cranes after a suspected strike.</w:t>
            </w:r>
          </w:p>
        </w:tc>
        <w:tc>
          <w:tcPr/>
          <w:p>
            <w:pPr>
              <w:pStyle w:val="Compact"/>
            </w:pPr>
            <w:r>
              <w:t xml:space="preserve">A strike can damage protection systems without visible surface damage.</w:t>
            </w:r>
          </w:p>
        </w:tc>
        <w:tc>
          <w:tcPr/>
          <w:p>
            <w:pPr>
              <w:pStyle w:val="Compact"/>
            </w:pPr>
            <w:r>
              <w:t xml:space="preserve">[T1; F4]</w:t>
            </w:r>
          </w:p>
        </w:tc>
      </w:tr>
      <w:tr>
        <w:tc>
          <w:tcPr/>
          <w:p>
            <w:pPr>
              <w:pStyle w:val="Compact"/>
              <w:jc w:val="right"/>
            </w:pPr>
            <w:r>
              <w:t xml:space="preserve">55</w:t>
            </w:r>
          </w:p>
        </w:tc>
        <w:tc>
          <w:tcPr/>
          <w:p>
            <w:pPr>
              <w:pStyle w:val="Compact"/>
            </w:pPr>
            <w:r>
              <w:t xml:space="preserve">Provide emergency lighting and protected isolation access above likely ponding.</w:t>
            </w:r>
          </w:p>
        </w:tc>
        <w:tc>
          <w:tcPr/>
          <w:p>
            <w:pPr>
              <w:pStyle w:val="Compact"/>
            </w:pPr>
            <w:r>
              <w:t xml:space="preserve">Evacuation and isolation must remain possible when normal power/access is impaired.</w:t>
            </w:r>
          </w:p>
        </w:tc>
        <w:tc>
          <w:tcPr/>
          <w:p>
            <w:pPr>
              <w:pStyle w:val="Compact"/>
            </w:pPr>
            <w:r>
              <w:t xml:space="preserve">[DB7; F5]</w:t>
            </w:r>
          </w:p>
        </w:tc>
      </w:tr>
      <w:tr>
        <w:tc>
          <w:tcPr/>
          <w:p>
            <w:pPr>
              <w:pStyle w:val="Compact"/>
              <w:jc w:val="right"/>
            </w:pPr>
            <w:r>
              <w:t xml:space="preserve">56</w:t>
            </w:r>
          </w:p>
        </w:tc>
        <w:tc>
          <w:tcPr/>
          <w:p>
            <w:pPr>
              <w:pStyle w:val="Compact"/>
            </w:pPr>
            <w:r>
              <w:t xml:space="preserve">Post the serving-utility emergency route and protect/identify buried or damaged services before dewatering or excavation.</w:t>
            </w:r>
          </w:p>
        </w:tc>
        <w:tc>
          <w:tcPr/>
          <w:p>
            <w:pPr>
              <w:pStyle w:val="Compact"/>
            </w:pPr>
            <w:r>
              <w:t xml:space="preserve">Fast utility notification limits electrocution, water-loss and public damage.</w:t>
            </w:r>
          </w:p>
        </w:tc>
        <w:tc>
          <w:tcPr/>
          <w:p>
            <w:pPr>
              <w:pStyle w:val="Compact"/>
            </w:pPr>
            <w:r>
              <w:t xml:space="preserve">[AJ3; FU4]</w:t>
            </w:r>
          </w:p>
        </w:tc>
      </w:tr>
    </w:tbl>
    <w:bookmarkEnd w:id="17"/>
    <w:bookmarkStart w:id="18" w:name="lifting-plant-scaffolding-and-structures"/>
    <w:p>
      <w:pPr>
        <w:pStyle w:val="Heading3"/>
      </w:pPr>
      <w:r>
        <w:t xml:space="preserve">Lifting, Plant, Scaffolding and Structures</w:t>
      </w:r>
    </w:p>
    <w:tbl>
      <w:tblPr>
        <w:tblStyle w:val="Table"/>
        <w:tblW w:type="pct" w:w="5000"/>
        <w:tblLayout w:type="fixed"/>
        <w:tblLook w:firstRow="1" w:lastRow="0" w:firstColumn="0" w:lastColumn="0" w:noHBand="0" w:noVBand="0" w:val="0020"/>
      </w:tblPr>
      <w:tblGrid>
        <w:gridCol w:w="2436"/>
        <w:gridCol w:w="1827"/>
        <w:gridCol w:w="1827"/>
        <w:gridCol w:w="1827"/>
      </w:tblGrid>
      <w:tr>
        <w:trPr>
          <w:tblHeader w:val="on"/>
        </w:trPr>
        <w:tc>
          <w:tcPr/>
          <w:p>
            <w:pPr>
              <w:pStyle w:val="Compact"/>
              <w:jc w:val="right"/>
            </w:pPr>
            <w:r>
              <w:t xml:space="preserve">No.</w:t>
            </w:r>
          </w:p>
        </w:tc>
        <w:tc>
          <w:tcPr/>
          <w:p>
            <w:pPr>
              <w:pStyle w:val="Compact"/>
            </w:pPr>
            <w:r>
              <w:t xml:space="preserve">Candidate point</w:t>
            </w:r>
          </w:p>
        </w:tc>
        <w:tc>
          <w:tcPr/>
          <w:p>
            <w:pPr>
              <w:pStyle w:val="Compact"/>
            </w:pPr>
            <w:r>
              <w:t xml:space="preserve">Rationale</w:t>
            </w:r>
          </w:p>
        </w:tc>
        <w:tc>
          <w:tcPr/>
          <w:p>
            <w:pPr>
              <w:pStyle w:val="Compact"/>
            </w:pPr>
            <w:r>
              <w:t xml:space="preserve">Source</w:t>
            </w:r>
          </w:p>
        </w:tc>
      </w:tr>
      <w:tr>
        <w:tc>
          <w:tcPr/>
          <w:p>
            <w:pPr>
              <w:pStyle w:val="Compact"/>
              <w:jc w:val="right"/>
            </w:pPr>
            <w:r>
              <w:t xml:space="preserve">57</w:t>
            </w:r>
          </w:p>
        </w:tc>
        <w:tc>
          <w:tcPr/>
          <w:p>
            <w:pPr>
              <w:pStyle w:val="Compact"/>
            </w:pPr>
            <w:r>
              <w:t xml:space="preserve">Put manufacturer wind limits, configuration, anemometer location and alarm/stop levels in each lift plan.</w:t>
            </w:r>
          </w:p>
        </w:tc>
        <w:tc>
          <w:tcPr/>
          <w:p>
            <w:pPr>
              <w:pStyle w:val="Compact"/>
            </w:pPr>
            <w:r>
              <w:t xml:space="preserve">Crane wind limits are equipment/load/configuration-specific; generic internet values do not govern.</w:t>
            </w:r>
          </w:p>
        </w:tc>
        <w:tc>
          <w:tcPr/>
          <w:p>
            <w:pPr>
              <w:pStyle w:val="Compact"/>
            </w:pPr>
            <w:r>
              <w:t xml:space="preserve">[AD6; T8]</w:t>
            </w:r>
          </w:p>
        </w:tc>
      </w:tr>
      <w:tr>
        <w:tc>
          <w:tcPr/>
          <w:p>
            <w:pPr>
              <w:pStyle w:val="Compact"/>
              <w:jc w:val="right"/>
            </w:pPr>
            <w:r>
              <w:t xml:space="preserve">58</w:t>
            </w:r>
          </w:p>
        </w:tc>
        <w:tc>
          <w:tcPr/>
          <w:p>
            <w:pPr>
              <w:pStyle w:val="Compact"/>
            </w:pPr>
            <w:r>
              <w:t xml:space="preserve">In Abu Dhabi, cease lifting at recorded wind speed or gusts above 38 km/h (20.5 knots).</w:t>
            </w:r>
          </w:p>
        </w:tc>
        <w:tc>
          <w:tcPr/>
          <w:p>
            <w:pPr>
              <w:pStyle w:val="Compact"/>
            </w:pPr>
            <w:r>
              <w:t xml:space="preserve">ADOSH CoP 34.0 gives a verified emirate-specific threshold.</w:t>
            </w:r>
          </w:p>
        </w:tc>
        <w:tc>
          <w:tcPr/>
          <w:p>
            <w:pPr>
              <w:pStyle w:val="Compact"/>
            </w:pPr>
            <w:r>
              <w:t xml:space="preserve">[AD6]</w:t>
            </w:r>
          </w:p>
        </w:tc>
      </w:tr>
      <w:tr>
        <w:tc>
          <w:tcPr/>
          <w:p>
            <w:pPr>
              <w:pStyle w:val="Compact"/>
              <w:jc w:val="right"/>
            </w:pPr>
            <w:r>
              <w:t xml:space="preserve">59</w:t>
            </w:r>
          </w:p>
        </w:tc>
        <w:tc>
          <w:tcPr/>
          <w:p>
            <w:pPr>
              <w:pStyle w:val="Compact"/>
            </w:pPr>
            <w:r>
              <w:t xml:space="preserve">Obtain and brief daily meteorological information to crane operators and lifting supervisors in Abu Dhabi.</w:t>
            </w:r>
          </w:p>
        </w:tc>
        <w:tc>
          <w:tcPr/>
          <w:p>
            <w:pPr>
              <w:pStyle w:val="Compact"/>
            </w:pPr>
            <w:r>
              <w:t xml:space="preserve">ADOSH CoP 34.0 specifically requires anemometers and daily meteorological reports.</w:t>
            </w:r>
          </w:p>
        </w:tc>
        <w:tc>
          <w:tcPr/>
          <w:p>
            <w:pPr>
              <w:pStyle w:val="Compact"/>
            </w:pPr>
            <w:r>
              <w:t xml:space="preserve">[AD6]</w:t>
            </w:r>
          </w:p>
        </w:tc>
      </w:tr>
      <w:tr>
        <w:tc>
          <w:tcPr/>
          <w:p>
            <w:pPr>
              <w:pStyle w:val="Compact"/>
              <w:jc w:val="right"/>
            </w:pPr>
            <w:r>
              <w:t xml:space="preserve">60</w:t>
            </w:r>
          </w:p>
        </w:tc>
        <w:tc>
          <w:tcPr/>
          <w:p>
            <w:pPr>
              <w:pStyle w:val="Compact"/>
            </w:pPr>
            <w:r>
              <w:t xml:space="preserve">Stop exposed lifting immediately for lightning, unsafe visibility, uncontrolled load swing, flooded access or unstable ground.</w:t>
            </w:r>
          </w:p>
        </w:tc>
        <w:tc>
          <w:tcPr/>
          <w:p>
            <w:pPr>
              <w:pStyle w:val="Compact"/>
            </w:pPr>
            <w:r>
              <w:t xml:space="preserve">Wind speed is not the only weather mechanism that invalidates a lift plan.</w:t>
            </w:r>
          </w:p>
        </w:tc>
        <w:tc>
          <w:tcPr/>
          <w:p>
            <w:pPr>
              <w:pStyle w:val="Compact"/>
            </w:pPr>
            <w:r>
              <w:t xml:space="preserve">[F4; T8]</w:t>
            </w:r>
          </w:p>
        </w:tc>
      </w:tr>
      <w:tr>
        <w:tc>
          <w:tcPr/>
          <w:p>
            <w:pPr>
              <w:pStyle w:val="Compact"/>
              <w:jc w:val="right"/>
            </w:pPr>
            <w:r>
              <w:t xml:space="preserve">61</w:t>
            </w:r>
          </w:p>
        </w:tc>
        <w:tc>
          <w:tcPr/>
          <w:p>
            <w:pPr>
              <w:pStyle w:val="Compact"/>
            </w:pPr>
            <w:r>
              <w:t xml:space="preserve">Secure cranes in the manufacturer-approved out-of-service/storm configuration.</w:t>
            </w:r>
          </w:p>
        </w:tc>
        <w:tc>
          <w:tcPr/>
          <w:p>
            <w:pPr>
              <w:pStyle w:val="Compact"/>
            </w:pPr>
            <w:r>
              <w:t xml:space="preserve">A crane’s restraint/slewing arrangement is manufacturer-specific and must be applied before conditions worsen.</w:t>
            </w:r>
          </w:p>
        </w:tc>
        <w:tc>
          <w:tcPr/>
          <w:p>
            <w:pPr>
              <w:pStyle w:val="Compact"/>
            </w:pPr>
            <w:r>
              <w:t xml:space="preserve">[T8; FU7]</w:t>
            </w:r>
          </w:p>
        </w:tc>
      </w:tr>
      <w:tr>
        <w:tc>
          <w:tcPr/>
          <w:p>
            <w:pPr>
              <w:pStyle w:val="Compact"/>
              <w:jc w:val="right"/>
            </w:pPr>
            <w:r>
              <w:t xml:space="preserve">62</w:t>
            </w:r>
          </w:p>
        </w:tc>
        <w:tc>
          <w:tcPr/>
          <w:p>
            <w:pPr>
              <w:pStyle w:val="Compact"/>
            </w:pPr>
            <w:r>
              <w:t xml:space="preserve">After rain, inspect crane foundations, rails, ties, anchors, brakes, outriggers, mats, hoists and lifting accessories before release.</w:t>
            </w:r>
          </w:p>
        </w:tc>
        <w:tc>
          <w:tcPr/>
          <w:p>
            <w:pPr>
              <w:pStyle w:val="Compact"/>
            </w:pPr>
            <w:r>
              <w:t xml:space="preserve">Saturation, scour and water ingress change stability and control margins.</w:t>
            </w:r>
          </w:p>
        </w:tc>
        <w:tc>
          <w:tcPr/>
          <w:p>
            <w:pPr>
              <w:pStyle w:val="Compact"/>
            </w:pPr>
            <w:r>
              <w:t xml:space="preserve">[AD6; FU2]</w:t>
            </w:r>
          </w:p>
        </w:tc>
      </w:tr>
      <w:tr>
        <w:tc>
          <w:tcPr/>
          <w:p>
            <w:pPr>
              <w:pStyle w:val="Compact"/>
              <w:jc w:val="right"/>
            </w:pPr>
            <w:r>
              <w:t xml:space="preserve">63</w:t>
            </w:r>
          </w:p>
        </w:tc>
        <w:tc>
          <w:tcPr/>
          <w:p>
            <w:pPr>
              <w:pStyle w:val="Compact"/>
            </w:pPr>
            <w:r>
              <w:t xml:space="preserve">Reassess ground-bearing capacity and exclusion zones near excavations before mobile-crane setup.</w:t>
            </w:r>
          </w:p>
        </w:tc>
        <w:tc>
          <w:tcPr/>
          <w:p>
            <w:pPr>
              <w:pStyle w:val="Compact"/>
            </w:pPr>
            <w:r>
              <w:t xml:space="preserve">Rain can undermine pads and excavation edges after a previously acceptable lift plan was issued.</w:t>
            </w:r>
          </w:p>
        </w:tc>
        <w:tc>
          <w:tcPr/>
          <w:p>
            <w:pPr>
              <w:pStyle w:val="Compact"/>
            </w:pPr>
            <w:r>
              <w:t xml:space="preserve">[AD6; T4]</w:t>
            </w:r>
          </w:p>
        </w:tc>
      </w:tr>
      <w:tr>
        <w:tc>
          <w:tcPr/>
          <w:p>
            <w:pPr>
              <w:pStyle w:val="Compact"/>
              <w:jc w:val="right"/>
            </w:pPr>
            <w:r>
              <w:t xml:space="preserve">64</w:t>
            </w:r>
          </w:p>
        </w:tc>
        <w:tc>
          <w:tcPr/>
          <w:p>
            <w:pPr>
              <w:pStyle w:val="Compact"/>
            </w:pPr>
            <w:r>
              <w:t xml:space="preserve">Stop scaffold use when platforms are slippery or wind/visibility makes access unsafe.</w:t>
            </w:r>
          </w:p>
        </w:tc>
        <w:tc>
          <w:tcPr/>
          <w:p>
            <w:pPr>
              <w:pStyle w:val="Compact"/>
            </w:pPr>
            <w:r>
              <w:t xml:space="preserve">Wet footing and wind increase fall and balance hazards.</w:t>
            </w:r>
          </w:p>
        </w:tc>
        <w:tc>
          <w:tcPr/>
          <w:p>
            <w:pPr>
              <w:pStyle w:val="Compact"/>
            </w:pPr>
            <w:r>
              <w:t xml:space="preserve">[AD5; T10]</w:t>
            </w:r>
          </w:p>
        </w:tc>
      </w:tr>
      <w:tr>
        <w:tc>
          <w:tcPr/>
          <w:p>
            <w:pPr>
              <w:pStyle w:val="Compact"/>
              <w:jc w:val="right"/>
            </w:pPr>
            <w:r>
              <w:t xml:space="preserve">65</w:t>
            </w:r>
          </w:p>
        </w:tc>
        <w:tc>
          <w:tcPr/>
          <w:p>
            <w:pPr>
              <w:pStyle w:val="Compact"/>
            </w:pPr>
            <w:r>
              <w:t xml:space="preserve">Do not move mobile scaffold towers in wind.</w:t>
            </w:r>
          </w:p>
        </w:tc>
        <w:tc>
          <w:tcPr/>
          <w:p>
            <w:pPr>
              <w:pStyle w:val="Compact"/>
            </w:pPr>
            <w:r>
              <w:t xml:space="preserve">This is an express ADOSH scaffolding rule.</w:t>
            </w:r>
          </w:p>
        </w:tc>
        <w:tc>
          <w:tcPr/>
          <w:p>
            <w:pPr>
              <w:pStyle w:val="Compact"/>
            </w:pPr>
            <w:r>
              <w:t xml:space="preserve">[AD5]</w:t>
            </w:r>
          </w:p>
        </w:tc>
      </w:tr>
      <w:tr>
        <w:tc>
          <w:tcPr/>
          <w:p>
            <w:pPr>
              <w:pStyle w:val="Compact"/>
              <w:jc w:val="right"/>
            </w:pPr>
            <w:r>
              <w:t xml:space="preserve">66</w:t>
            </w:r>
          </w:p>
        </w:tc>
        <w:tc>
          <w:tcPr/>
          <w:p>
            <w:pPr>
              <w:pStyle w:val="Compact"/>
            </w:pPr>
            <w:r>
              <w:t xml:space="preserve">Inspect scaffold bases, sole boards, ties, bracing, guardrails, toe boards, ladders and decks after storms/high winds.</w:t>
            </w:r>
          </w:p>
        </w:tc>
        <w:tc>
          <w:tcPr/>
          <w:p>
            <w:pPr>
              <w:pStyle w:val="Compact"/>
            </w:pPr>
            <w:r>
              <w:t xml:space="preserve">Storms can undermine bases and loosen or displace components.</w:t>
            </w:r>
          </w:p>
        </w:tc>
        <w:tc>
          <w:tcPr/>
          <w:p>
            <w:pPr>
              <w:pStyle w:val="Compact"/>
            </w:pPr>
            <w:r>
              <w:t xml:space="preserve">[AD5; T10]</w:t>
            </w:r>
          </w:p>
        </w:tc>
      </w:tr>
      <w:tr>
        <w:tc>
          <w:tcPr/>
          <w:p>
            <w:pPr>
              <w:pStyle w:val="Compact"/>
              <w:jc w:val="right"/>
            </w:pPr>
            <w:r>
              <w:t xml:space="preserve">67</w:t>
            </w:r>
          </w:p>
        </w:tc>
        <w:tc>
          <w:tcPr/>
          <w:p>
            <w:pPr>
              <w:pStyle w:val="Compact"/>
            </w:pPr>
            <w:r>
              <w:t xml:space="preserve">Record scaffold post-event inspection location, date/time, findings, inspector and design/specification reference.</w:t>
            </w:r>
          </w:p>
        </w:tc>
        <w:tc>
          <w:tcPr/>
          <w:p>
            <w:pPr>
              <w:pStyle w:val="Compact"/>
            </w:pPr>
            <w:r>
              <w:t xml:space="preserve">ADOSH requires retained weather-event inspection records, not a verbal release.</w:t>
            </w:r>
          </w:p>
        </w:tc>
        <w:tc>
          <w:tcPr/>
          <w:p>
            <w:pPr>
              <w:pStyle w:val="Compact"/>
            </w:pPr>
            <w:r>
              <w:t xml:space="preserve">[AD5]</w:t>
            </w:r>
          </w:p>
        </w:tc>
      </w:tr>
      <w:tr>
        <w:tc>
          <w:tcPr/>
          <w:p>
            <w:pPr>
              <w:pStyle w:val="Compact"/>
              <w:jc w:val="right"/>
            </w:pPr>
            <w:r>
              <w:t xml:space="preserve">68</w:t>
            </w:r>
          </w:p>
        </w:tc>
        <w:tc>
          <w:tcPr/>
          <w:p>
            <w:pPr>
              <w:pStyle w:val="Compact"/>
            </w:pPr>
            <w:r>
              <w:t xml:space="preserve">Inspect formwork, falsework, temporary roofs, hoardings, signs and edge protection after rain/wind; secure or dismantle loose items.</w:t>
            </w:r>
          </w:p>
        </w:tc>
        <w:tc>
          <w:tcPr/>
          <w:p>
            <w:pPr>
              <w:pStyle w:val="Compact"/>
            </w:pPr>
            <w:r>
              <w:t xml:space="preserve">Rain, suction and wind can change loads or turn components into projectiles.</w:t>
            </w:r>
          </w:p>
        </w:tc>
        <w:tc>
          <w:tcPr/>
          <w:p>
            <w:pPr>
              <w:pStyle w:val="Compact"/>
            </w:pPr>
            <w:r>
              <w:t xml:space="preserve">[F3; T10]</w:t>
            </w:r>
          </w:p>
        </w:tc>
      </w:tr>
      <w:tr>
        <w:tc>
          <w:tcPr/>
          <w:p>
            <w:pPr>
              <w:pStyle w:val="Compact"/>
              <w:jc w:val="right"/>
            </w:pPr>
            <w:r>
              <w:t xml:space="preserve">69</w:t>
            </w:r>
          </w:p>
        </w:tc>
        <w:tc>
          <w:tcPr/>
          <w:p>
            <w:pPr>
              <w:pStyle w:val="Compact"/>
            </w:pPr>
            <w:r>
              <w:t xml:space="preserve">Maintain safe lighting, non-slip access and barriers at stairs, ramps, roof edges and openings during shutdown.</w:t>
            </w:r>
          </w:p>
        </w:tc>
        <w:tc>
          <w:tcPr/>
          <w:p>
            <w:pPr>
              <w:pStyle w:val="Compact"/>
            </w:pPr>
            <w:r>
              <w:t xml:space="preserve">Wet surfaces and low visibility turn minor access defects into falls.</w:t>
            </w:r>
          </w:p>
        </w:tc>
        <w:tc>
          <w:tcPr/>
          <w:p>
            <w:pPr>
              <w:pStyle w:val="Compact"/>
            </w:pPr>
            <w:r>
              <w:t xml:space="preserve">[SH5; T10]</w:t>
            </w:r>
          </w:p>
        </w:tc>
      </w:tr>
      <w:tr>
        <w:tc>
          <w:tcPr/>
          <w:p>
            <w:pPr>
              <w:pStyle w:val="Compact"/>
              <w:jc w:val="right"/>
            </w:pPr>
            <w:r>
              <w:t xml:space="preserve">70</w:t>
            </w:r>
          </w:p>
        </w:tc>
        <w:tc>
          <w:tcPr/>
          <w:p>
            <w:pPr>
              <w:pStyle w:val="Compact"/>
            </w:pPr>
            <w:r>
              <w:t xml:space="preserve">For port/terminal work in Fujairah, use the specific terminal/permit weather limits and VHF emergency route, not generic construction limits.</w:t>
            </w:r>
          </w:p>
        </w:tc>
        <w:tc>
          <w:tcPr/>
          <w:p>
            <w:pPr>
              <w:pStyle w:val="Compact"/>
            </w:pPr>
            <w:r>
              <w:t xml:space="preserve">The published 25/35/40 knot and wave limits are terminal-specific.</w:t>
            </w:r>
          </w:p>
        </w:tc>
        <w:tc>
          <w:tcPr/>
          <w:p>
            <w:pPr>
              <w:pStyle w:val="Compact"/>
            </w:pPr>
            <w:r>
              <w:t xml:space="preserve">[FU7]</w:t>
            </w:r>
          </w:p>
        </w:tc>
      </w:tr>
    </w:tbl>
    <w:bookmarkEnd w:id="18"/>
    <w:bookmarkStart w:id="19" w:name="materials-storage-and-contamination"/>
    <w:p>
      <w:pPr>
        <w:pStyle w:val="Heading3"/>
      </w:pPr>
      <w:r>
        <w:t xml:space="preserve">Materials, Storage and Contamination</w:t>
      </w:r>
    </w:p>
    <w:tbl>
      <w:tblPr>
        <w:tblStyle w:val="Table"/>
        <w:tblW w:type="pct" w:w="5000"/>
        <w:tblLayout w:type="fixed"/>
        <w:tblLook w:firstRow="1" w:lastRow="0" w:firstColumn="0" w:lastColumn="0" w:noHBand="0" w:noVBand="0" w:val="0020"/>
      </w:tblPr>
      <w:tblGrid>
        <w:gridCol w:w="2436"/>
        <w:gridCol w:w="1827"/>
        <w:gridCol w:w="1827"/>
        <w:gridCol w:w="1827"/>
      </w:tblGrid>
      <w:tr>
        <w:trPr>
          <w:tblHeader w:val="on"/>
        </w:trPr>
        <w:tc>
          <w:tcPr/>
          <w:p>
            <w:pPr>
              <w:pStyle w:val="Compact"/>
              <w:jc w:val="right"/>
            </w:pPr>
            <w:r>
              <w:t xml:space="preserve">No.</w:t>
            </w:r>
          </w:p>
        </w:tc>
        <w:tc>
          <w:tcPr/>
          <w:p>
            <w:pPr>
              <w:pStyle w:val="Compact"/>
            </w:pPr>
            <w:r>
              <w:t xml:space="preserve">Candidate point</w:t>
            </w:r>
          </w:p>
        </w:tc>
        <w:tc>
          <w:tcPr/>
          <w:p>
            <w:pPr>
              <w:pStyle w:val="Compact"/>
            </w:pPr>
            <w:r>
              <w:t xml:space="preserve">Rationale</w:t>
            </w:r>
          </w:p>
        </w:tc>
        <w:tc>
          <w:tcPr/>
          <w:p>
            <w:pPr>
              <w:pStyle w:val="Compact"/>
            </w:pPr>
            <w:r>
              <w:t xml:space="preserve">Source</w:t>
            </w:r>
          </w:p>
        </w:tc>
      </w:tr>
      <w:tr>
        <w:tc>
          <w:tcPr/>
          <w:p>
            <w:pPr>
              <w:pStyle w:val="Compact"/>
              <w:jc w:val="right"/>
            </w:pPr>
            <w:r>
              <w:t xml:space="preserve">71</w:t>
            </w:r>
          </w:p>
        </w:tc>
        <w:tc>
          <w:tcPr/>
          <w:p>
            <w:pPr>
              <w:pStyle w:val="Compact"/>
            </w:pPr>
            <w:r>
              <w:t xml:space="preserve">Store cement, gypsum, insulation, timber and electrical components under cover and above flood level.</w:t>
            </w:r>
          </w:p>
        </w:tc>
        <w:tc>
          <w:tcPr/>
          <w:p>
            <w:pPr>
              <w:pStyle w:val="Compact"/>
            </w:pPr>
            <w:r>
              <w:t xml:space="preserve">Rain degrades materials and makes contaminated/damaged stock unsafe or unusable.</w:t>
            </w:r>
          </w:p>
        </w:tc>
        <w:tc>
          <w:tcPr/>
          <w:p>
            <w:pPr>
              <w:pStyle w:val="Compact"/>
            </w:pPr>
            <w:r>
              <w:t xml:space="preserve">[FU1; RK6]</w:t>
            </w:r>
          </w:p>
        </w:tc>
      </w:tr>
      <w:tr>
        <w:tc>
          <w:tcPr/>
          <w:p>
            <w:pPr>
              <w:pStyle w:val="Compact"/>
              <w:jc w:val="right"/>
            </w:pPr>
            <w:r>
              <w:t xml:space="preserve">72</w:t>
            </w:r>
          </w:p>
        </w:tc>
        <w:tc>
          <w:tcPr/>
          <w:p>
            <w:pPr>
              <w:pStyle w:val="Compact"/>
            </w:pPr>
            <w:r>
              <w:t xml:space="preserve">Quarantine and inspect wet, contaminated, damaged or chemically incompatible materials before use.</w:t>
            </w:r>
          </w:p>
        </w:tc>
        <w:tc>
          <w:tcPr/>
          <w:p>
            <w:pPr>
              <w:pStyle w:val="Compact"/>
            </w:pPr>
            <w:r>
              <w:t xml:space="preserve">Apparent drying does not restore material properties or remove contamination.</w:t>
            </w:r>
          </w:p>
        </w:tc>
        <w:tc>
          <w:tcPr/>
          <w:p>
            <w:pPr>
              <w:pStyle w:val="Compact"/>
            </w:pPr>
            <w:r>
              <w:t xml:space="preserve">[F9; EN2]</w:t>
            </w:r>
          </w:p>
        </w:tc>
      </w:tr>
      <w:tr>
        <w:tc>
          <w:tcPr/>
          <w:p>
            <w:pPr>
              <w:pStyle w:val="Compact"/>
              <w:jc w:val="right"/>
            </w:pPr>
            <w:r>
              <w:t xml:space="preserve">73</w:t>
            </w:r>
          </w:p>
        </w:tc>
        <w:tc>
          <w:tcPr/>
          <w:p>
            <w:pPr>
              <w:pStyle w:val="Compact"/>
            </w:pPr>
            <w:r>
              <w:t xml:space="preserve">Locate fuel, oils, paints, solvents and chemicals in roofed, labelled, compatible secondary containment above ponding level.</w:t>
            </w:r>
          </w:p>
        </w:tc>
        <w:tc>
          <w:tcPr/>
          <w:p>
            <w:pPr>
              <w:pStyle w:val="Compact"/>
            </w:pPr>
            <w:r>
              <w:t xml:space="preserve">Prevents flotation, rain-driven release and incompatible mixing.</w:t>
            </w:r>
          </w:p>
        </w:tc>
        <w:tc>
          <w:tcPr/>
          <w:p>
            <w:pPr>
              <w:pStyle w:val="Compact"/>
            </w:pPr>
            <w:r>
              <w:t xml:space="preserve">[EN2; RK6]</w:t>
            </w:r>
          </w:p>
        </w:tc>
      </w:tr>
      <w:tr>
        <w:tc>
          <w:tcPr/>
          <w:p>
            <w:pPr>
              <w:pStyle w:val="Compact"/>
              <w:jc w:val="right"/>
            </w:pPr>
            <w:r>
              <w:t xml:space="preserve">74</w:t>
            </w:r>
          </w:p>
        </w:tc>
        <w:tc>
          <w:tcPr/>
          <w:p>
            <w:pPr>
              <w:pStyle w:val="Compact"/>
            </w:pPr>
            <w:r>
              <w:t xml:space="preserve">Keep bund drains closed and treat accumulated rainwater in a chemical bund as potentially contaminated.</w:t>
            </w:r>
          </w:p>
        </w:tc>
        <w:tc>
          <w:tcPr/>
          <w:p>
            <w:pPr>
              <w:pStyle w:val="Compact"/>
            </w:pPr>
            <w:r>
              <w:t xml:space="preserve">Opening a bund drain can create an unpermitted release.</w:t>
            </w:r>
          </w:p>
        </w:tc>
        <w:tc>
          <w:tcPr/>
          <w:p>
            <w:pPr>
              <w:pStyle w:val="Compact"/>
            </w:pPr>
            <w:r>
              <w:t xml:space="preserve">[EN2]</w:t>
            </w:r>
          </w:p>
        </w:tc>
      </w:tr>
      <w:tr>
        <w:tc>
          <w:tcPr/>
          <w:p>
            <w:pPr>
              <w:pStyle w:val="Compact"/>
              <w:jc w:val="right"/>
            </w:pPr>
            <w:r>
              <w:t xml:space="preserve">75</w:t>
            </w:r>
          </w:p>
        </w:tc>
        <w:tc>
          <w:tcPr/>
          <w:p>
            <w:pPr>
              <w:pStyle w:val="Compact"/>
            </w:pPr>
            <w:r>
              <w:t xml:space="preserve">Provide drip trays/absorbent protection under pumps and generators and attend refuelling.</w:t>
            </w:r>
          </w:p>
        </w:tc>
        <w:tc>
          <w:tcPr/>
          <w:p>
            <w:pPr>
              <w:pStyle w:val="Compact"/>
            </w:pPr>
            <w:r>
              <w:t xml:space="preserve">Dubai Local Order specifically calls for oil-absorbent protection under pumps.</w:t>
            </w:r>
          </w:p>
        </w:tc>
        <w:tc>
          <w:tcPr/>
          <w:p>
            <w:pPr>
              <w:pStyle w:val="Compact"/>
            </w:pPr>
            <w:r>
              <w:t xml:space="preserve">[EN1]</w:t>
            </w:r>
          </w:p>
        </w:tc>
      </w:tr>
      <w:tr>
        <w:tc>
          <w:tcPr/>
          <w:p>
            <w:pPr>
              <w:pStyle w:val="Compact"/>
              <w:jc w:val="right"/>
            </w:pPr>
            <w:r>
              <w:t xml:space="preserve">76</w:t>
            </w:r>
          </w:p>
        </w:tc>
        <w:tc>
          <w:tcPr/>
          <w:p>
            <w:pPr>
              <w:pStyle w:val="Compact"/>
            </w:pPr>
            <w:r>
              <w:t xml:space="preserve">Keep spill kits, drain covers and absorbents at fuel, workshop, chemical, generator and pump locations.</w:t>
            </w:r>
          </w:p>
        </w:tc>
        <w:tc>
          <w:tcPr/>
          <w:p>
            <w:pPr>
              <w:pStyle w:val="Compact"/>
            </w:pPr>
            <w:r>
              <w:t xml:space="preserve">First minutes determine whether a minor spill reaches a drain or receptor.</w:t>
            </w:r>
          </w:p>
        </w:tc>
        <w:tc>
          <w:tcPr/>
          <w:p>
            <w:pPr>
              <w:pStyle w:val="Compact"/>
            </w:pPr>
            <w:r>
              <w:t xml:space="preserve">[RK6; T9]</w:t>
            </w:r>
          </w:p>
        </w:tc>
      </w:tr>
      <w:tr>
        <w:tc>
          <w:tcPr/>
          <w:p>
            <w:pPr>
              <w:pStyle w:val="Compact"/>
              <w:jc w:val="right"/>
            </w:pPr>
            <w:r>
              <w:t xml:space="preserve">77</w:t>
            </w:r>
          </w:p>
        </w:tc>
        <w:tc>
          <w:tcPr/>
          <w:p>
            <w:pPr>
              <w:pStyle w:val="Compact"/>
            </w:pPr>
            <w:r>
              <w:t xml:space="preserve">Use lined, bunded, signed concrete washout with capacity for planned pours and stormwater separation.</w:t>
            </w:r>
          </w:p>
        </w:tc>
        <w:tc>
          <w:tcPr/>
          <w:p>
            <w:pPr>
              <w:pStyle w:val="Compact"/>
            </w:pPr>
            <w:r>
              <w:t xml:space="preserve">High-pH washout and cement fines are major runoff pollutants.</w:t>
            </w:r>
          </w:p>
        </w:tc>
        <w:tc>
          <w:tcPr/>
          <w:p>
            <w:pPr>
              <w:pStyle w:val="Compact"/>
            </w:pPr>
            <w:r>
              <w:t xml:space="preserve">[EN2; T9]</w:t>
            </w:r>
          </w:p>
        </w:tc>
      </w:tr>
      <w:tr>
        <w:tc>
          <w:tcPr/>
          <w:p>
            <w:pPr>
              <w:pStyle w:val="Compact"/>
              <w:jc w:val="right"/>
            </w:pPr>
            <w:r>
              <w:t xml:space="preserve">78</w:t>
            </w:r>
          </w:p>
        </w:tc>
        <w:tc>
          <w:tcPr/>
          <w:p>
            <w:pPr>
              <w:pStyle w:val="Compact"/>
            </w:pPr>
            <w:r>
              <w:t xml:space="preserve">Prohibit chute, tool and truck washing to soil, roadways, gullies, wadis or sea.</w:t>
            </w:r>
          </w:p>
        </w:tc>
        <w:tc>
          <w:tcPr/>
          <w:p>
            <w:pPr>
              <w:pStyle w:val="Compact"/>
            </w:pPr>
            <w:r>
              <w:t xml:space="preserve">Those routes transfer alkaline liquid and solids directly to public/environmental receptors.</w:t>
            </w:r>
          </w:p>
        </w:tc>
        <w:tc>
          <w:tcPr/>
          <w:p>
            <w:pPr>
              <w:pStyle w:val="Compact"/>
            </w:pPr>
            <w:r>
              <w:t xml:space="preserve">[EN1; EN2]</w:t>
            </w:r>
          </w:p>
        </w:tc>
      </w:tr>
      <w:tr>
        <w:tc>
          <w:tcPr/>
          <w:p>
            <w:pPr>
              <w:pStyle w:val="Compact"/>
              <w:jc w:val="right"/>
            </w:pPr>
            <w:r>
              <w:t xml:space="preserve">79</w:t>
            </w:r>
          </w:p>
        </w:tc>
        <w:tc>
          <w:tcPr/>
          <w:p>
            <w:pPr>
              <w:pStyle w:val="Compact"/>
            </w:pPr>
            <w:r>
              <w:t xml:space="preserve">Cover and secure C&amp;D skips, packaging, light sheets, rebar bundles, cylinders, formwork and hoardings.</w:t>
            </w:r>
          </w:p>
        </w:tc>
        <w:tc>
          <w:tcPr/>
          <w:p>
            <w:pPr>
              <w:pStyle w:val="Compact"/>
            </w:pPr>
            <w:r>
              <w:t xml:space="preserve">Wind and runoff can mobilise materials, block drains and injure people.</w:t>
            </w:r>
          </w:p>
        </w:tc>
        <w:tc>
          <w:tcPr/>
          <w:p>
            <w:pPr>
              <w:pStyle w:val="Compact"/>
            </w:pPr>
            <w:r>
              <w:t xml:space="preserve">[F3; F11]</w:t>
            </w:r>
          </w:p>
        </w:tc>
      </w:tr>
      <w:tr>
        <w:tc>
          <w:tcPr/>
          <w:p>
            <w:pPr>
              <w:pStyle w:val="Compact"/>
              <w:jc w:val="right"/>
            </w:pPr>
            <w:r>
              <w:t xml:space="preserve">80</w:t>
            </w:r>
          </w:p>
        </w:tc>
        <w:tc>
          <w:tcPr/>
          <w:p>
            <w:pPr>
              <w:pStyle w:val="Compact"/>
            </w:pPr>
            <w:r>
              <w:t xml:space="preserve">Segregate C&amp;D, hazardous, oil, sewage and general waste in labelled containers and retain manifests/receiving tickets.</w:t>
            </w:r>
          </w:p>
        </w:tc>
        <w:tc>
          <w:tcPr/>
          <w:p>
            <w:pPr>
              <w:pStyle w:val="Compact"/>
            </w:pPr>
            <w:r>
              <w:t xml:space="preserve">Federal waste law requires controlled routes and C&amp;D segregation; records demonstrate compliance.</w:t>
            </w:r>
          </w:p>
        </w:tc>
        <w:tc>
          <w:tcPr/>
          <w:p>
            <w:pPr>
              <w:pStyle w:val="Compact"/>
            </w:pPr>
            <w:r>
              <w:t xml:space="preserve">[F11]</w:t>
            </w:r>
          </w:p>
        </w:tc>
      </w:tr>
      <w:tr>
        <w:tc>
          <w:tcPr/>
          <w:p>
            <w:pPr>
              <w:pStyle w:val="Compact"/>
              <w:jc w:val="right"/>
            </w:pPr>
            <w:r>
              <w:t xml:space="preserve">81</w:t>
            </w:r>
          </w:p>
        </w:tc>
        <w:tc>
          <w:tcPr/>
          <w:p>
            <w:pPr>
              <w:pStyle w:val="Compact"/>
            </w:pPr>
            <w:r>
              <w:t xml:space="preserve">Prevent rainwater entering waste containers and inspect skips for leachate, overflow and unsecured lids after storms.</w:t>
            </w:r>
          </w:p>
        </w:tc>
        <w:tc>
          <w:tcPr/>
          <w:p>
            <w:pPr>
              <w:pStyle w:val="Compact"/>
            </w:pPr>
            <w:r>
              <w:t xml:space="preserve">Waterlogged waste creates contaminated runoff and complicates lawful disposal.</w:t>
            </w:r>
          </w:p>
        </w:tc>
        <w:tc>
          <w:tcPr/>
          <w:p>
            <w:pPr>
              <w:pStyle w:val="Compact"/>
            </w:pPr>
            <w:r>
              <w:t xml:space="preserve">[SH8; EN2]</w:t>
            </w:r>
          </w:p>
        </w:tc>
      </w:tr>
      <w:tr>
        <w:tc>
          <w:tcPr/>
          <w:p>
            <w:pPr>
              <w:pStyle w:val="Compact"/>
              <w:jc w:val="right"/>
            </w:pPr>
            <w:r>
              <w:t xml:space="preserve">82</w:t>
            </w:r>
          </w:p>
        </w:tc>
        <w:tc>
          <w:tcPr/>
          <w:p>
            <w:pPr>
              <w:pStyle w:val="Compact"/>
            </w:pPr>
            <w:r>
              <w:t xml:space="preserve">Keep stockpiles covered/stabilised with perimeter sediment controls while preserving designed drainage paths.</w:t>
            </w:r>
          </w:p>
        </w:tc>
        <w:tc>
          <w:tcPr/>
          <w:p>
            <w:pPr>
              <w:pStyle w:val="Compact"/>
            </w:pPr>
            <w:r>
              <w:t xml:space="preserve">Uncontrolled exposed soil is a direct source of silt, blockages and erosion.</w:t>
            </w:r>
          </w:p>
        </w:tc>
        <w:tc>
          <w:tcPr/>
          <w:p>
            <w:pPr>
              <w:pStyle w:val="Compact"/>
            </w:pPr>
            <w:r>
              <w:t xml:space="preserve">[T9; EN2]</w:t>
            </w:r>
          </w:p>
        </w:tc>
      </w:tr>
      <w:tr>
        <w:tc>
          <w:tcPr/>
          <w:p>
            <w:pPr>
              <w:pStyle w:val="Compact"/>
              <w:jc w:val="right"/>
            </w:pPr>
            <w:r>
              <w:t xml:space="preserve">83</w:t>
            </w:r>
          </w:p>
        </w:tc>
        <w:tc>
          <w:tcPr/>
          <w:p>
            <w:pPr>
              <w:pStyle w:val="Compact"/>
            </w:pPr>
            <w:r>
              <w:t xml:space="preserve">Secure gas cylinders upright and protect cylinder storage from flooding, vehicle contact and wind.</w:t>
            </w:r>
          </w:p>
        </w:tc>
        <w:tc>
          <w:tcPr/>
          <w:p>
            <w:pPr>
              <w:pStyle w:val="Compact"/>
            </w:pPr>
            <w:r>
              <w:t xml:space="preserve">Flooding and movement can damage valves or create a fire/explosion exposure.</w:t>
            </w:r>
          </w:p>
        </w:tc>
        <w:tc>
          <w:tcPr/>
          <w:p>
            <w:pPr>
              <w:pStyle w:val="Compact"/>
            </w:pPr>
            <w:r>
              <w:t xml:space="preserve">[F3; SH5]</w:t>
            </w:r>
          </w:p>
        </w:tc>
      </w:tr>
      <w:tr>
        <w:tc>
          <w:tcPr/>
          <w:p>
            <w:pPr>
              <w:pStyle w:val="Compact"/>
              <w:jc w:val="right"/>
            </w:pPr>
            <w:r>
              <w:t xml:space="preserve">84</w:t>
            </w:r>
          </w:p>
        </w:tc>
        <w:tc>
          <w:tcPr/>
          <w:p>
            <w:pPr>
              <w:pStyle w:val="Compact"/>
            </w:pPr>
            <w:r>
              <w:t xml:space="preserve">Keep an up-to-date chemical inventory and SDS/emergency information at the gate/control room.</w:t>
            </w:r>
          </w:p>
        </w:tc>
        <w:tc>
          <w:tcPr/>
          <w:p>
            <w:pPr>
              <w:pStyle w:val="Compact"/>
            </w:pPr>
            <w:r>
              <w:t xml:space="preserve">Responders need fast hazard information when a flooded store or release is reported.</w:t>
            </w:r>
          </w:p>
        </w:tc>
        <w:tc>
          <w:tcPr/>
          <w:p>
            <w:pPr>
              <w:pStyle w:val="Compact"/>
            </w:pPr>
            <w:r>
              <w:t xml:space="preserve">[RK6; DB7]</w:t>
            </w:r>
          </w:p>
        </w:tc>
      </w:tr>
    </w:tbl>
    <w:bookmarkEnd w:id="19"/>
    <w:bookmarkStart w:id="20" w:name="welfare-accommodation-and-worker-health"/>
    <w:p>
      <w:pPr>
        <w:pStyle w:val="Heading3"/>
      </w:pPr>
      <w:r>
        <w:t xml:space="preserve">Welfare, Accommodation and Worker Health</w:t>
      </w:r>
    </w:p>
    <w:tbl>
      <w:tblPr>
        <w:tblStyle w:val="Table"/>
        <w:tblW w:type="pct" w:w="5000"/>
        <w:tblLayout w:type="fixed"/>
        <w:tblLook w:firstRow="1" w:lastRow="0" w:firstColumn="0" w:lastColumn="0" w:noHBand="0" w:noVBand="0" w:val="0020"/>
      </w:tblPr>
      <w:tblGrid>
        <w:gridCol w:w="2436"/>
        <w:gridCol w:w="1827"/>
        <w:gridCol w:w="1827"/>
        <w:gridCol w:w="1827"/>
      </w:tblGrid>
      <w:tr>
        <w:trPr>
          <w:tblHeader w:val="on"/>
        </w:trPr>
        <w:tc>
          <w:tcPr/>
          <w:p>
            <w:pPr>
              <w:pStyle w:val="Compact"/>
              <w:jc w:val="right"/>
            </w:pPr>
            <w:r>
              <w:t xml:space="preserve">No.</w:t>
            </w:r>
          </w:p>
        </w:tc>
        <w:tc>
          <w:tcPr/>
          <w:p>
            <w:pPr>
              <w:pStyle w:val="Compact"/>
            </w:pPr>
            <w:r>
              <w:t xml:space="preserve">Candidate point</w:t>
            </w:r>
          </w:p>
        </w:tc>
        <w:tc>
          <w:tcPr/>
          <w:p>
            <w:pPr>
              <w:pStyle w:val="Compact"/>
            </w:pPr>
            <w:r>
              <w:t xml:space="preserve">Rationale</w:t>
            </w:r>
          </w:p>
        </w:tc>
        <w:tc>
          <w:tcPr/>
          <w:p>
            <w:pPr>
              <w:pStyle w:val="Compact"/>
            </w:pPr>
            <w:r>
              <w:t xml:space="preserve">Source</w:t>
            </w:r>
          </w:p>
        </w:tc>
      </w:tr>
      <w:tr>
        <w:tc>
          <w:tcPr/>
          <w:p>
            <w:pPr>
              <w:pStyle w:val="Compact"/>
              <w:jc w:val="right"/>
            </w:pPr>
            <w:r>
              <w:t xml:space="preserve">85</w:t>
            </w:r>
          </w:p>
        </w:tc>
        <w:tc>
          <w:tcPr/>
          <w:p>
            <w:pPr>
              <w:pStyle w:val="Compact"/>
            </w:pPr>
            <w:r>
              <w:t xml:space="preserve">Inspect accommodation roofs, drainage, electrical rooms, exits, fire systems and access paths before and after rain.</w:t>
            </w:r>
          </w:p>
        </w:tc>
        <w:tc>
          <w:tcPr/>
          <w:p>
            <w:pPr>
              <w:pStyle w:val="Compact"/>
            </w:pPr>
            <w:r>
              <w:t xml:space="preserve">Accommodation has water, sewage, egress and fire requirements and may flood before the worksite.</w:t>
            </w:r>
          </w:p>
        </w:tc>
        <w:tc>
          <w:tcPr/>
          <w:p>
            <w:pPr>
              <w:pStyle w:val="Compact"/>
            </w:pPr>
            <w:r>
              <w:t xml:space="preserve">[F8]</w:t>
            </w:r>
          </w:p>
        </w:tc>
      </w:tr>
      <w:tr>
        <w:tc>
          <w:tcPr/>
          <w:p>
            <w:pPr>
              <w:pStyle w:val="Compact"/>
              <w:jc w:val="right"/>
            </w:pPr>
            <w:r>
              <w:t xml:space="preserve">86</w:t>
            </w:r>
          </w:p>
        </w:tc>
        <w:tc>
          <w:tcPr/>
          <w:p>
            <w:pPr>
              <w:pStyle w:val="Compact"/>
            </w:pPr>
            <w:r>
              <w:t xml:space="preserve">Keep accommodation and welfare facilities away from rainwater drainage channels and protect emergency exits.</w:t>
            </w:r>
          </w:p>
        </w:tc>
        <w:tc>
          <w:tcPr/>
          <w:p>
            <w:pPr>
              <w:pStyle w:val="Compact"/>
            </w:pPr>
            <w:r>
              <w:t xml:space="preserve">Federal accommodation standards specifically address siting and exits.</w:t>
            </w:r>
          </w:p>
        </w:tc>
        <w:tc>
          <w:tcPr/>
          <w:p>
            <w:pPr>
              <w:pStyle w:val="Compact"/>
            </w:pPr>
            <w:r>
              <w:t xml:space="preserve">[F8]</w:t>
            </w:r>
          </w:p>
        </w:tc>
      </w:tr>
      <w:tr>
        <w:tc>
          <w:tcPr/>
          <w:p>
            <w:pPr>
              <w:pStyle w:val="Compact"/>
              <w:jc w:val="right"/>
            </w:pPr>
            <w:r>
              <w:t xml:space="preserve">87</w:t>
            </w:r>
          </w:p>
        </w:tc>
        <w:tc>
          <w:tcPr/>
          <w:p>
            <w:pPr>
              <w:pStyle w:val="Compact"/>
            </w:pPr>
            <w:r>
              <w:t xml:space="preserve">Protect potable-water tanks, hose ends, dispensers and fill points from floodwater, chemicals and backflow.</w:t>
            </w:r>
          </w:p>
        </w:tc>
        <w:tc>
          <w:tcPr/>
          <w:p>
            <w:pPr>
              <w:pStyle w:val="Compact"/>
            </w:pPr>
            <w:r>
              <w:t xml:space="preserve">Floodwater contact is a potential public-health incident, not merely a cleaning issue.</w:t>
            </w:r>
          </w:p>
        </w:tc>
        <w:tc>
          <w:tcPr/>
          <w:p>
            <w:pPr>
              <w:pStyle w:val="Compact"/>
            </w:pPr>
            <w:r>
              <w:t xml:space="preserve">[F10; EN2]</w:t>
            </w:r>
          </w:p>
        </w:tc>
      </w:tr>
      <w:tr>
        <w:tc>
          <w:tcPr/>
          <w:p>
            <w:pPr>
              <w:pStyle w:val="Compact"/>
              <w:jc w:val="right"/>
            </w:pPr>
            <w:r>
              <w:t xml:space="preserve">88</w:t>
            </w:r>
          </w:p>
        </w:tc>
        <w:tc>
          <w:tcPr/>
          <w:p>
            <w:pPr>
              <w:pStyle w:val="Compact"/>
            </w:pPr>
            <w:r>
              <w:t xml:space="preserve">Isolate, disinfect and sample suspect potable-water systems; provide sealed alternative drinking water until cleared.</w:t>
            </w:r>
          </w:p>
        </w:tc>
        <w:tc>
          <w:tcPr/>
          <w:p>
            <w:pPr>
              <w:pStyle w:val="Compact"/>
            </w:pPr>
            <w:r>
              <w:t xml:space="preserve">Consumption must stop if the supply may be unsafe.</w:t>
            </w:r>
          </w:p>
        </w:tc>
        <w:tc>
          <w:tcPr/>
          <w:p>
            <w:pPr>
              <w:pStyle w:val="Compact"/>
            </w:pPr>
            <w:r>
              <w:t xml:space="preserve">[EN3; EN2]</w:t>
            </w:r>
          </w:p>
        </w:tc>
      </w:tr>
      <w:tr>
        <w:tc>
          <w:tcPr/>
          <w:p>
            <w:pPr>
              <w:pStyle w:val="Compact"/>
              <w:jc w:val="right"/>
            </w:pPr>
            <w:r>
              <w:t xml:space="preserve">89</w:t>
            </w:r>
          </w:p>
        </w:tc>
        <w:tc>
          <w:tcPr/>
          <w:p>
            <w:pPr>
              <w:pStyle w:val="Compact"/>
            </w:pPr>
            <w:r>
              <w:t xml:space="preserve">Inspect toilets, septic/holding tanks, sewage pumps, hoses and access for overflow; maintain high-level alarm/tanker contingency.</w:t>
            </w:r>
          </w:p>
        </w:tc>
        <w:tc>
          <w:tcPr/>
          <w:p>
            <w:pPr>
              <w:pStyle w:val="Compact"/>
            </w:pPr>
            <w:r>
              <w:t xml:space="preserve">Sewage overflow creates disease and environmental exposure and must never enter stormwater.</w:t>
            </w:r>
          </w:p>
        </w:tc>
        <w:tc>
          <w:tcPr/>
          <w:p>
            <w:pPr>
              <w:pStyle w:val="Compact"/>
            </w:pPr>
            <w:r>
              <w:t xml:space="preserve">[EN1; F10]</w:t>
            </w:r>
          </w:p>
        </w:tc>
      </w:tr>
      <w:tr>
        <w:tc>
          <w:tcPr/>
          <w:p>
            <w:pPr>
              <w:pStyle w:val="Compact"/>
              <w:jc w:val="right"/>
            </w:pPr>
            <w:r>
              <w:t xml:space="preserve">90</w:t>
            </w:r>
          </w:p>
        </w:tc>
        <w:tc>
          <w:tcPr/>
          <w:p>
            <w:pPr>
              <w:pStyle w:val="Compact"/>
            </w:pPr>
            <w:r>
              <w:t xml:space="preserve">Keep kitchens, food stores and food-contact materials protected from roof leaks, floodwater, pests and chemicals.</w:t>
            </w:r>
          </w:p>
        </w:tc>
        <w:tc>
          <w:tcPr/>
          <w:p>
            <w:pPr>
              <w:pStyle w:val="Compact"/>
            </w:pPr>
            <w:r>
              <w:t xml:space="preserve">Food safety requires hygienic controls and flood-exposed food should be discarded.</w:t>
            </w:r>
          </w:p>
        </w:tc>
        <w:tc>
          <w:tcPr/>
          <w:p>
            <w:pPr>
              <w:pStyle w:val="Compact"/>
            </w:pPr>
            <w:r>
              <w:t xml:space="preserve">[EN4; F8]</w:t>
            </w:r>
          </w:p>
        </w:tc>
      </w:tr>
      <w:tr>
        <w:tc>
          <w:tcPr/>
          <w:p>
            <w:pPr>
              <w:pStyle w:val="Compact"/>
              <w:jc w:val="right"/>
            </w:pPr>
            <w:r>
              <w:t xml:space="preserve">91</w:t>
            </w:r>
          </w:p>
        </w:tc>
        <w:tc>
          <w:tcPr/>
          <w:p>
            <w:pPr>
              <w:pStyle w:val="Compact"/>
            </w:pPr>
            <w:r>
              <w:t xml:space="preserve">After rain, check refrigeration, temperature records, handwashing water, pest activity and food traceability.</w:t>
            </w:r>
          </w:p>
        </w:tc>
        <w:tc>
          <w:tcPr/>
          <w:p>
            <w:pPr>
              <w:pStyle w:val="Compact"/>
            </w:pPr>
            <w:r>
              <w:t xml:space="preserve">Flooding can break food-control critical limits even if the kitchen remains open.</w:t>
            </w:r>
          </w:p>
        </w:tc>
        <w:tc>
          <w:tcPr/>
          <w:p>
            <w:pPr>
              <w:pStyle w:val="Compact"/>
            </w:pPr>
            <w:r>
              <w:t xml:space="preserve">[EN4]</w:t>
            </w:r>
          </w:p>
        </w:tc>
      </w:tr>
      <w:tr>
        <w:tc>
          <w:tcPr/>
          <w:p>
            <w:pPr>
              <w:pStyle w:val="Compact"/>
              <w:jc w:val="right"/>
            </w:pPr>
            <w:r>
              <w:t xml:space="preserve">92</w:t>
            </w:r>
          </w:p>
        </w:tc>
        <w:tc>
          <w:tcPr/>
          <w:p>
            <w:pPr>
              <w:pStyle w:val="Compact"/>
            </w:pPr>
            <w:r>
              <w:t xml:space="preserve">Remove standing water and arrange approved pest management where mosquitoes, flies or rodents become a risk.</w:t>
            </w:r>
          </w:p>
        </w:tc>
        <w:tc>
          <w:tcPr/>
          <w:p>
            <w:pPr>
              <w:pStyle w:val="Compact"/>
            </w:pPr>
            <w:r>
              <w:t xml:space="preserve">Post-April 2024 municipal action targeted standing water and drainage outlets.</w:t>
            </w:r>
          </w:p>
        </w:tc>
        <w:tc>
          <w:tcPr/>
          <w:p>
            <w:pPr>
              <w:pStyle w:val="Compact"/>
            </w:pPr>
            <w:r>
              <w:t xml:space="preserve">[EV4; DB1]</w:t>
            </w:r>
          </w:p>
        </w:tc>
      </w:tr>
      <w:tr>
        <w:tc>
          <w:tcPr/>
          <w:p>
            <w:pPr>
              <w:pStyle w:val="Compact"/>
              <w:jc w:val="right"/>
            </w:pPr>
            <w:r>
              <w:t xml:space="preserve">93</w:t>
            </w:r>
          </w:p>
        </w:tc>
        <w:tc>
          <w:tcPr/>
          <w:p>
            <w:pPr>
              <w:pStyle w:val="Compact"/>
            </w:pPr>
            <w:r>
              <w:t xml:space="preserve">Provide dry changing space, waterproof PPE, slip-resistant footwear and a safe route to transport/accommodation.</w:t>
            </w:r>
          </w:p>
        </w:tc>
        <w:tc>
          <w:tcPr/>
          <w:p>
            <w:pPr>
              <w:pStyle w:val="Compact"/>
            </w:pPr>
            <w:r>
              <w:t xml:space="preserve">Wet clothing, slips and stranded transport affect worker health and attendance.</w:t>
            </w:r>
          </w:p>
        </w:tc>
        <w:tc>
          <w:tcPr/>
          <w:p>
            <w:pPr>
              <w:pStyle w:val="Compact"/>
            </w:pPr>
            <w:r>
              <w:t xml:space="preserve">[FU1; F6]</w:t>
            </w:r>
          </w:p>
        </w:tc>
      </w:tr>
      <w:tr>
        <w:tc>
          <w:tcPr/>
          <w:p>
            <w:pPr>
              <w:pStyle w:val="Compact"/>
              <w:jc w:val="right"/>
            </w:pPr>
            <w:r>
              <w:t xml:space="preserve">94</w:t>
            </w:r>
          </w:p>
        </w:tc>
        <w:tc>
          <w:tcPr/>
          <w:p>
            <w:pPr>
              <w:pStyle w:val="Compact"/>
            </w:pPr>
            <w:r>
              <w:t xml:space="preserve">Keep first-aid kits, medicines, emergency lighting and communication devices above expected flood level.</w:t>
            </w:r>
          </w:p>
        </w:tc>
        <w:tc>
          <w:tcPr/>
          <w:p>
            <w:pPr>
              <w:pStyle w:val="Compact"/>
            </w:pPr>
            <w:r>
              <w:t xml:space="preserve">Response equipment must be usable when welfare cabins or power are affected.</w:t>
            </w:r>
          </w:p>
        </w:tc>
        <w:tc>
          <w:tcPr/>
          <w:p>
            <w:pPr>
              <w:pStyle w:val="Compact"/>
            </w:pPr>
            <w:r>
              <w:t xml:space="preserve">[RK6; F5]</w:t>
            </w:r>
          </w:p>
        </w:tc>
      </w:tr>
      <w:tr>
        <w:tc>
          <w:tcPr/>
          <w:p>
            <w:pPr>
              <w:pStyle w:val="Compact"/>
              <w:jc w:val="right"/>
            </w:pPr>
            <w:r>
              <w:t xml:space="preserve">95</w:t>
            </w:r>
          </w:p>
        </w:tc>
        <w:tc>
          <w:tcPr/>
          <w:p>
            <w:pPr>
              <w:pStyle w:val="Compact"/>
            </w:pPr>
            <w:r>
              <w:t xml:space="preserve">Maintain headcount, welfare-contact and transport-continuity arrangements when roads or buses are disrupted.</w:t>
            </w:r>
          </w:p>
        </w:tc>
        <w:tc>
          <w:tcPr/>
          <w:p>
            <w:pPr>
              <w:pStyle w:val="Compact"/>
            </w:pPr>
            <w:r>
              <w:t xml:space="preserve">April 2024 included major access and transport disruption.</w:t>
            </w:r>
          </w:p>
        </w:tc>
        <w:tc>
          <w:tcPr/>
          <w:p>
            <w:pPr>
              <w:pStyle w:val="Compact"/>
            </w:pPr>
            <w:r>
              <w:t xml:space="preserve">[EV2]</w:t>
            </w:r>
          </w:p>
        </w:tc>
      </w:tr>
      <w:tr>
        <w:tc>
          <w:tcPr/>
          <w:p>
            <w:pPr>
              <w:pStyle w:val="Compact"/>
              <w:jc w:val="right"/>
            </w:pPr>
            <w:r>
              <w:t xml:space="preserve">96</w:t>
            </w:r>
          </w:p>
        </w:tc>
        <w:tc>
          <w:tcPr/>
          <w:p>
            <w:pPr>
              <w:pStyle w:val="Compact"/>
            </w:pPr>
            <w:r>
              <w:t xml:space="preserve">Permit safe delayed travel rather than pressuring workers to cross flooded roads.</w:t>
            </w:r>
          </w:p>
        </w:tc>
        <w:tc>
          <w:tcPr/>
          <w:p>
            <w:pPr>
              <w:pStyle w:val="Compact"/>
            </w:pPr>
            <w:r>
              <w:t xml:space="preserve">Qualifying weather/NCM-warning transit delay is working time.</w:t>
            </w:r>
          </w:p>
        </w:tc>
        <w:tc>
          <w:tcPr/>
          <w:p>
            <w:pPr>
              <w:pStyle w:val="Compact"/>
            </w:pPr>
            <w:r>
              <w:t xml:space="preserve">[F7]</w:t>
            </w:r>
          </w:p>
        </w:tc>
      </w:tr>
      <w:tr>
        <w:tc>
          <w:tcPr/>
          <w:p>
            <w:pPr>
              <w:pStyle w:val="Compact"/>
              <w:jc w:val="right"/>
            </w:pPr>
            <w:r>
              <w:t xml:space="preserve">97</w:t>
            </w:r>
          </w:p>
        </w:tc>
        <w:tc>
          <w:tcPr/>
          <w:p>
            <w:pPr>
              <w:pStyle w:val="Compact"/>
            </w:pPr>
            <w:r>
              <w:t xml:space="preserve">Train workers not to enter wadis, torrents, dams, flood barriers or moving water.</w:t>
            </w:r>
          </w:p>
        </w:tc>
        <w:tc>
          <w:tcPr/>
          <w:p>
            <w:pPr>
              <w:pStyle w:val="Compact"/>
            </w:pPr>
            <w:r>
              <w:t xml:space="preserve">NCEMA specifically warns against watercourses, torrents, valleys, dams and mountains.</w:t>
            </w:r>
          </w:p>
        </w:tc>
        <w:tc>
          <w:tcPr/>
          <w:p>
            <w:pPr>
              <w:pStyle w:val="Compact"/>
            </w:pPr>
            <w:r>
              <w:t xml:space="preserve">[F4]</w:t>
            </w:r>
          </w:p>
        </w:tc>
      </w:tr>
      <w:tr>
        <w:tc>
          <w:tcPr/>
          <w:p>
            <w:pPr>
              <w:pStyle w:val="Compact"/>
              <w:jc w:val="right"/>
            </w:pPr>
            <w:r>
              <w:t xml:space="preserve">98</w:t>
            </w:r>
          </w:p>
        </w:tc>
        <w:tc>
          <w:tcPr/>
          <w:p>
            <w:pPr>
              <w:pStyle w:val="Compact"/>
            </w:pPr>
            <w:r>
              <w:t xml:space="preserve">Clean/disinfect and inspect flooded accommodation/welfare spaces for mould, sewage, electrical ingress and safe reoccupation.</w:t>
            </w:r>
          </w:p>
        </w:tc>
        <w:tc>
          <w:tcPr/>
          <w:p>
            <w:pPr>
              <w:pStyle w:val="Compact"/>
            </w:pPr>
            <w:r>
              <w:t xml:space="preserve">Health hazards persist after structural water recedes.</w:t>
            </w:r>
          </w:p>
        </w:tc>
        <w:tc>
          <w:tcPr/>
          <w:p>
            <w:pPr>
              <w:pStyle w:val="Compact"/>
            </w:pPr>
            <w:r>
              <w:t xml:space="preserve">[DB9; F8]</w:t>
            </w:r>
          </w:p>
        </w:tc>
      </w:tr>
    </w:tbl>
    <w:bookmarkEnd w:id="20"/>
    <w:bookmarkStart w:id="21" w:name="X0eae0bea69ca40b5243157e448c9edbdd6a8327"/>
    <w:p>
      <w:pPr>
        <w:pStyle w:val="Heading3"/>
      </w:pPr>
      <w:r>
        <w:t xml:space="preserve">Environmental Protection and Pollution Prevention</w:t>
      </w:r>
    </w:p>
    <w:tbl>
      <w:tblPr>
        <w:tblStyle w:val="Table"/>
        <w:tblW w:type="pct" w:w="5000"/>
        <w:tblLayout w:type="fixed"/>
        <w:tblLook w:firstRow="1" w:lastRow="0" w:firstColumn="0" w:lastColumn="0" w:noHBand="0" w:noVBand="0" w:val="0020"/>
      </w:tblPr>
      <w:tblGrid>
        <w:gridCol w:w="2436"/>
        <w:gridCol w:w="1827"/>
        <w:gridCol w:w="1827"/>
        <w:gridCol w:w="1827"/>
      </w:tblGrid>
      <w:tr>
        <w:trPr>
          <w:tblHeader w:val="on"/>
        </w:trPr>
        <w:tc>
          <w:tcPr/>
          <w:p>
            <w:pPr>
              <w:pStyle w:val="Compact"/>
              <w:jc w:val="right"/>
            </w:pPr>
            <w:r>
              <w:t xml:space="preserve">No.</w:t>
            </w:r>
          </w:p>
        </w:tc>
        <w:tc>
          <w:tcPr/>
          <w:p>
            <w:pPr>
              <w:pStyle w:val="Compact"/>
            </w:pPr>
            <w:r>
              <w:t xml:space="preserve">Candidate point</w:t>
            </w:r>
          </w:p>
        </w:tc>
        <w:tc>
          <w:tcPr/>
          <w:p>
            <w:pPr>
              <w:pStyle w:val="Compact"/>
            </w:pPr>
            <w:r>
              <w:t xml:space="preserve">Rationale</w:t>
            </w:r>
          </w:p>
        </w:tc>
        <w:tc>
          <w:tcPr/>
          <w:p>
            <w:pPr>
              <w:pStyle w:val="Compact"/>
            </w:pPr>
            <w:r>
              <w:t xml:space="preserve">Source</w:t>
            </w:r>
          </w:p>
        </w:tc>
      </w:tr>
      <w:tr>
        <w:tc>
          <w:tcPr/>
          <w:p>
            <w:pPr>
              <w:pStyle w:val="Compact"/>
              <w:jc w:val="right"/>
            </w:pPr>
            <w:r>
              <w:t xml:space="preserve">99</w:t>
            </w:r>
          </w:p>
        </w:tc>
        <w:tc>
          <w:tcPr/>
          <w:p>
            <w:pPr>
              <w:pStyle w:val="Compact"/>
            </w:pPr>
            <w:r>
              <w:t xml:space="preserve">Keep the environmental clearance/CEMP, dewatering approval, discharge drawing and incident contacts at site and pump station.</w:t>
            </w:r>
          </w:p>
        </w:tc>
        <w:tc>
          <w:tcPr/>
          <w:p>
            <w:pPr>
              <w:pStyle w:val="Compact"/>
            </w:pPr>
            <w:r>
              <w:t xml:space="preserve">Controls are permit-specific and field teams need the approved conditions at the point of work.</w:t>
            </w:r>
          </w:p>
        </w:tc>
        <w:tc>
          <w:tcPr/>
          <w:p>
            <w:pPr>
              <w:pStyle w:val="Compact"/>
            </w:pPr>
            <w:r>
              <w:t xml:space="preserve">[DB2; EN1]</w:t>
            </w:r>
          </w:p>
        </w:tc>
      </w:tr>
      <w:tr>
        <w:tc>
          <w:tcPr/>
          <w:p>
            <w:pPr>
              <w:pStyle w:val="Compact"/>
              <w:jc w:val="right"/>
            </w:pPr>
            <w:r>
              <w:t xml:space="preserve">100</w:t>
            </w:r>
          </w:p>
        </w:tc>
        <w:tc>
          <w:tcPr/>
          <w:p>
            <w:pPr>
              <w:pStyle w:val="Compact"/>
            </w:pPr>
            <w:r>
              <w:t xml:space="preserve">Map drains, wadis, groundwater, beaches, mangroves, tidal channels, outfalls and protected areas as sensitive receptors.</w:t>
            </w:r>
          </w:p>
        </w:tc>
        <w:tc>
          <w:tcPr/>
          <w:p>
            <w:pPr>
              <w:pStyle w:val="Compact"/>
            </w:pPr>
            <w:r>
              <w:t xml:space="preserve">Runoff route and receptor determine the severity and approval pathway of a release.</w:t>
            </w:r>
          </w:p>
        </w:tc>
        <w:tc>
          <w:tcPr/>
          <w:p>
            <w:pPr>
              <w:pStyle w:val="Compact"/>
            </w:pPr>
            <w:r>
              <w:t xml:space="preserve">[F9; AD7]</w:t>
            </w:r>
          </w:p>
        </w:tc>
      </w:tr>
      <w:tr>
        <w:tc>
          <w:tcPr/>
          <w:p>
            <w:pPr>
              <w:pStyle w:val="Compact"/>
              <w:jc w:val="right"/>
            </w:pPr>
            <w:r>
              <w:t xml:space="preserve">101</w:t>
            </w:r>
          </w:p>
        </w:tc>
        <w:tc>
          <w:tcPr/>
          <w:p>
            <w:pPr>
              <w:pStyle w:val="Compact"/>
            </w:pPr>
            <w:r>
              <w:t xml:space="preserve">Set and mark no-go buffers around mangroves, tidal channels, seagrass/coast and protected habitats.</w:t>
            </w:r>
          </w:p>
        </w:tc>
        <w:tc>
          <w:tcPr/>
          <w:p>
            <w:pPr>
              <w:pStyle w:val="Compact"/>
            </w:pPr>
            <w:r>
              <w:t xml:space="preserve">Avoidance of mature mangrove impact is the priority; permits are required before intervention.</w:t>
            </w:r>
          </w:p>
        </w:tc>
        <w:tc>
          <w:tcPr/>
          <w:p>
            <w:pPr>
              <w:pStyle w:val="Compact"/>
            </w:pPr>
            <w:r>
              <w:t xml:space="preserve">[AD7; UA4]</w:t>
            </w:r>
          </w:p>
        </w:tc>
      </w:tr>
      <w:tr>
        <w:tc>
          <w:tcPr/>
          <w:p>
            <w:pPr>
              <w:pStyle w:val="Compact"/>
              <w:jc w:val="right"/>
            </w:pPr>
            <w:r>
              <w:t xml:space="preserve">102</w:t>
            </w:r>
          </w:p>
        </w:tc>
        <w:tc>
          <w:tcPr/>
          <w:p>
            <w:pPr>
              <w:pStyle w:val="Compact"/>
            </w:pPr>
            <w:r>
              <w:t xml:space="preserve">Do not treat a dewatering NOC as permission for sewage, oily water, concrete washout or contaminated groundwater.</w:t>
            </w:r>
          </w:p>
        </w:tc>
        <w:tc>
          <w:tcPr/>
          <w:p>
            <w:pPr>
              <w:pStyle w:val="Compact"/>
            </w:pPr>
            <w:r>
              <w:t xml:space="preserve">A discharge approval normally covers a defined water source, route and controls only.</w:t>
            </w:r>
          </w:p>
        </w:tc>
        <w:tc>
          <w:tcPr/>
          <w:p>
            <w:pPr>
              <w:pStyle w:val="Compact"/>
            </w:pPr>
            <w:r>
              <w:t xml:space="preserve">[EN1; DB3]</w:t>
            </w:r>
          </w:p>
        </w:tc>
      </w:tr>
      <w:tr>
        <w:tc>
          <w:tcPr/>
          <w:p>
            <w:pPr>
              <w:pStyle w:val="Compact"/>
              <w:jc w:val="right"/>
            </w:pPr>
            <w:r>
              <w:t xml:space="preserve">103</w:t>
            </w:r>
          </w:p>
        </w:tc>
        <w:tc>
          <w:tcPr/>
          <w:p>
            <w:pPr>
              <w:pStyle w:val="Compact"/>
            </w:pPr>
            <w:r>
              <w:t xml:space="preserve">Classify water by source/risk and sample uncharacterised water/soil using parameters informed by site history.</w:t>
            </w:r>
          </w:p>
        </w:tc>
        <w:tc>
          <w:tcPr/>
          <w:p>
            <w:pPr>
              <w:pStyle w:val="Compact"/>
            </w:pPr>
            <w:r>
              <w:t xml:space="preserve">Source-based classification captures hydrocarbons, metals, microbes, pH and salinity that visual inspection misses.</w:t>
            </w:r>
          </w:p>
        </w:tc>
        <w:tc>
          <w:tcPr/>
          <w:p>
            <w:pPr>
              <w:pStyle w:val="Compact"/>
            </w:pPr>
            <w:r>
              <w:t xml:space="preserve">[EN3; DB2]</w:t>
            </w:r>
          </w:p>
        </w:tc>
      </w:tr>
      <w:tr>
        <w:tc>
          <w:tcPr/>
          <w:p>
            <w:pPr>
              <w:pStyle w:val="Compact"/>
              <w:jc w:val="right"/>
            </w:pPr>
            <w:r>
              <w:t xml:space="preserve">104</w:t>
            </w:r>
          </w:p>
        </w:tc>
        <w:tc>
          <w:tcPr/>
          <w:p>
            <w:pPr>
              <w:pStyle w:val="Compact"/>
            </w:pPr>
            <w:r>
              <w:t xml:space="preserve">Stop, cordon and notify the environmental manager if stained soil, unusual odour, buried waste, asbestos-like material or unusual groundwater is found.</w:t>
            </w:r>
          </w:p>
        </w:tc>
        <w:tc>
          <w:tcPr/>
          <w:p>
            <w:pPr>
              <w:pStyle w:val="Compact"/>
            </w:pPr>
            <w:r>
              <w:t xml:space="preserve">Excavation can mobilise unknown contamination, especially during rain.</w:t>
            </w:r>
          </w:p>
        </w:tc>
        <w:tc>
          <w:tcPr/>
          <w:p>
            <w:pPr>
              <w:pStyle w:val="Compact"/>
            </w:pPr>
            <w:r>
              <w:t xml:space="preserve">[DB2; F9]</w:t>
            </w:r>
          </w:p>
        </w:tc>
      </w:tr>
      <w:tr>
        <w:tc>
          <w:tcPr/>
          <w:p>
            <w:pPr>
              <w:pStyle w:val="Compact"/>
              <w:jc w:val="right"/>
            </w:pPr>
            <w:r>
              <w:t xml:space="preserve">105</w:t>
            </w:r>
          </w:p>
        </w:tc>
        <w:tc>
          <w:tcPr/>
          <w:p>
            <w:pPr>
              <w:pStyle w:val="Compact"/>
            </w:pPr>
            <w:r>
              <w:t xml:space="preserve">Prevent tracking of suspect soil/water and approve classification, remediation and disposal before restarting.</w:t>
            </w:r>
          </w:p>
        </w:tc>
        <w:tc>
          <w:tcPr/>
          <w:p>
            <w:pPr>
              <w:pStyle w:val="Compact"/>
            </w:pPr>
            <w:r>
              <w:t xml:space="preserve">Tracking spreads contamination and may create unnecessary waste volumes.</w:t>
            </w:r>
          </w:p>
        </w:tc>
        <w:tc>
          <w:tcPr/>
          <w:p>
            <w:pPr>
              <w:pStyle w:val="Compact"/>
            </w:pPr>
            <w:r>
              <w:t xml:space="preserve">[F9; EN2]</w:t>
            </w:r>
          </w:p>
        </w:tc>
      </w:tr>
      <w:tr>
        <w:tc>
          <w:tcPr/>
          <w:p>
            <w:pPr>
              <w:pStyle w:val="Compact"/>
              <w:jc w:val="right"/>
            </w:pPr>
            <w:r>
              <w:t xml:space="preserve">106</w:t>
            </w:r>
          </w:p>
        </w:tc>
        <w:tc>
          <w:tcPr/>
          <w:p>
            <w:pPr>
              <w:pStyle w:val="Compact"/>
            </w:pPr>
            <w:r>
              <w:t xml:space="preserve">Inspect bunds, silt controls, stockpiles, washout, skips and drains before a forecast event and after each storm.</w:t>
            </w:r>
          </w:p>
        </w:tc>
        <w:tc>
          <w:tcPr/>
          <w:p>
            <w:pPr>
              <w:pStyle w:val="Compact"/>
            </w:pPr>
            <w:r>
              <w:t xml:space="preserve">Capacity and containment are reduced by damage, sediment and overtopping.</w:t>
            </w:r>
          </w:p>
        </w:tc>
        <w:tc>
          <w:tcPr/>
          <w:p>
            <w:pPr>
              <w:pStyle w:val="Compact"/>
            </w:pPr>
            <w:r>
              <w:t xml:space="preserve">[EN2; T9]</w:t>
            </w:r>
          </w:p>
        </w:tc>
      </w:tr>
      <w:tr>
        <w:tc>
          <w:tcPr/>
          <w:p>
            <w:pPr>
              <w:pStyle w:val="Compact"/>
              <w:jc w:val="right"/>
            </w:pPr>
            <w:r>
              <w:t xml:space="preserve">107</w:t>
            </w:r>
          </w:p>
        </w:tc>
        <w:tc>
          <w:tcPr/>
          <w:p>
            <w:pPr>
              <w:pStyle w:val="Compact"/>
            </w:pPr>
            <w:r>
              <w:t xml:space="preserve">Use licensed waste transport/disposal and retain manifest, receiving-ticket and laboratory records.</w:t>
            </w:r>
          </w:p>
        </w:tc>
        <w:tc>
          <w:tcPr/>
          <w:p>
            <w:pPr>
              <w:pStyle w:val="Compact"/>
            </w:pPr>
            <w:r>
              <w:t xml:space="preserve">Federal waste law requires controlled disposal; records establish the final route.</w:t>
            </w:r>
          </w:p>
        </w:tc>
        <w:tc>
          <w:tcPr/>
          <w:p>
            <w:pPr>
              <w:pStyle w:val="Compact"/>
            </w:pPr>
            <w:r>
              <w:t xml:space="preserve">[F11]</w:t>
            </w:r>
          </w:p>
        </w:tc>
      </w:tr>
      <w:tr>
        <w:tc>
          <w:tcPr/>
          <w:p>
            <w:pPr>
              <w:pStyle w:val="Compact"/>
              <w:jc w:val="right"/>
            </w:pPr>
            <w:r>
              <w:t xml:space="preserve">108</w:t>
            </w:r>
          </w:p>
        </w:tc>
        <w:tc>
          <w:tcPr/>
          <w:p>
            <w:pPr>
              <w:pStyle w:val="Compact"/>
            </w:pPr>
            <w:r>
              <w:t xml:space="preserve">Never push silt, waste or flood debris into public drainage, wadis or coastal areas during cleanup.</w:t>
            </w:r>
          </w:p>
        </w:tc>
        <w:tc>
          <w:tcPr/>
          <w:p>
            <w:pPr>
              <w:pStyle w:val="Compact"/>
            </w:pPr>
            <w:r>
              <w:t xml:space="preserve">Cleanup itself can become a secondary polluting discharge.</w:t>
            </w:r>
          </w:p>
        </w:tc>
        <w:tc>
          <w:tcPr/>
          <w:p>
            <w:pPr>
              <w:pStyle w:val="Compact"/>
            </w:pPr>
            <w:r>
              <w:t xml:space="preserve">[RK4; F9]</w:t>
            </w:r>
          </w:p>
        </w:tc>
      </w:tr>
      <w:tr>
        <w:tc>
          <w:tcPr/>
          <w:p>
            <w:pPr>
              <w:pStyle w:val="Compact"/>
              <w:jc w:val="right"/>
            </w:pPr>
            <w:r>
              <w:t xml:space="preserve">109</w:t>
            </w:r>
          </w:p>
        </w:tc>
        <w:tc>
          <w:tcPr/>
          <w:p>
            <w:pPr>
              <w:pStyle w:val="Compact"/>
            </w:pPr>
            <w:r>
              <w:t xml:space="preserve">Record rainfall, pump run time/volume, discharge location, turbidity/tests, spills, tank levels and photographs.</w:t>
            </w:r>
          </w:p>
        </w:tc>
        <w:tc>
          <w:tcPr/>
          <w:p>
            <w:pPr>
              <w:pStyle w:val="Compact"/>
            </w:pPr>
            <w:r>
              <w:t xml:space="preserve">Creates an auditable pollution-control record and supports claims/authority reporting.</w:t>
            </w:r>
          </w:p>
        </w:tc>
        <w:tc>
          <w:tcPr/>
          <w:p>
            <w:pPr>
              <w:pStyle w:val="Compact"/>
            </w:pPr>
            <w:r>
              <w:t xml:space="preserve">[EN3; DB2]</w:t>
            </w:r>
          </w:p>
        </w:tc>
      </w:tr>
      <w:tr>
        <w:tc>
          <w:tcPr/>
          <w:p>
            <w:pPr>
              <w:pStyle w:val="Compact"/>
              <w:jc w:val="right"/>
            </w:pPr>
            <w:r>
              <w:t xml:space="preserve">110</w:t>
            </w:r>
          </w:p>
        </w:tc>
        <w:tc>
          <w:tcPr/>
          <w:p>
            <w:pPr>
              <w:pStyle w:val="Compact"/>
            </w:pPr>
            <w:r>
              <w:t xml:space="preserve">Report water-quality incidents and regulatory non-compliance under applicable permit/regulator routes.</w:t>
            </w:r>
          </w:p>
        </w:tc>
        <w:tc>
          <w:tcPr/>
          <w:p>
            <w:pPr>
              <w:pStyle w:val="Compact"/>
            </w:pPr>
            <w:r>
              <w:t xml:space="preserve">Abu Dhabi DoE expressly requires incident and non-compliance reporting for its regulated scope.</w:t>
            </w:r>
          </w:p>
        </w:tc>
        <w:tc>
          <w:tcPr/>
          <w:p>
            <w:pPr>
              <w:pStyle w:val="Compact"/>
            </w:pPr>
            <w:r>
              <w:t xml:space="preserve">[EN3]</w:t>
            </w:r>
          </w:p>
        </w:tc>
      </w:tr>
      <w:tr>
        <w:tc>
          <w:tcPr/>
          <w:p>
            <w:pPr>
              <w:pStyle w:val="Compact"/>
              <w:jc w:val="right"/>
            </w:pPr>
            <w:r>
              <w:t xml:space="preserve">111</w:t>
            </w:r>
          </w:p>
        </w:tc>
        <w:tc>
          <w:tcPr/>
          <w:p>
            <w:pPr>
              <w:pStyle w:val="Compact"/>
            </w:pPr>
            <w:r>
              <w:t xml:space="preserve">Immediately stop and report plume, sheen, fish kill, mangrove damage or unauthorised discharge to the relevant authority.</w:t>
            </w:r>
          </w:p>
        </w:tc>
        <w:tc>
          <w:tcPr/>
          <w:p>
            <w:pPr>
              <w:pStyle w:val="Compact"/>
            </w:pPr>
            <w:r>
              <w:t xml:space="preserve">These are signs of a potentially significant receptor impact requiring prompt containment/notification.</w:t>
            </w:r>
          </w:p>
        </w:tc>
        <w:tc>
          <w:tcPr/>
          <w:p>
            <w:pPr>
              <w:pStyle w:val="Compact"/>
            </w:pPr>
            <w:r>
              <w:t xml:space="preserve">[AD7; F9]</w:t>
            </w:r>
          </w:p>
        </w:tc>
      </w:tr>
      <w:tr>
        <w:tc>
          <w:tcPr/>
          <w:p>
            <w:pPr>
              <w:pStyle w:val="Compact"/>
              <w:jc w:val="right"/>
            </w:pPr>
            <w:r>
              <w:t xml:space="preserve">112</w:t>
            </w:r>
          </w:p>
        </w:tc>
        <w:tc>
          <w:tcPr/>
          <w:p>
            <w:pPr>
              <w:pStyle w:val="Compact"/>
            </w:pPr>
            <w:r>
              <w:t xml:space="preserve">Maintain emergency spill containment and trained responders for hazardous releases.</w:t>
            </w:r>
          </w:p>
        </w:tc>
        <w:tc>
          <w:tcPr/>
          <w:p>
            <w:pPr>
              <w:pStyle w:val="Compact"/>
            </w:pPr>
            <w:r>
              <w:t xml:space="preserve">RAKEZ explicitly requires containment, trained personnel, authority coordination and review.</w:t>
            </w:r>
          </w:p>
        </w:tc>
        <w:tc>
          <w:tcPr/>
          <w:p>
            <w:pPr>
              <w:pStyle w:val="Compact"/>
            </w:pPr>
            <w:r>
              <w:t xml:space="preserve">[RK6]</w:t>
            </w:r>
          </w:p>
        </w:tc>
      </w:tr>
    </w:tbl>
    <w:bookmarkEnd w:id="21"/>
    <w:bookmarkStart w:id="22" w:name="X80518e42fb2aecc883540ada9ec4f6fd6bee03a"/>
    <w:p>
      <w:pPr>
        <w:pStyle w:val="Heading3"/>
      </w:pPr>
      <w:r>
        <w:t xml:space="preserve">Emergency Response, Recovery and Reinstatement</w:t>
      </w:r>
    </w:p>
    <w:tbl>
      <w:tblPr>
        <w:tblStyle w:val="Table"/>
        <w:tblW w:type="pct" w:w="5000"/>
        <w:tblLayout w:type="fixed"/>
        <w:tblLook w:firstRow="1" w:lastRow="0" w:firstColumn="0" w:lastColumn="0" w:noHBand="0" w:noVBand="0" w:val="0020"/>
      </w:tblPr>
      <w:tblGrid>
        <w:gridCol w:w="2436"/>
        <w:gridCol w:w="1827"/>
        <w:gridCol w:w="1827"/>
        <w:gridCol w:w="1827"/>
      </w:tblGrid>
      <w:tr>
        <w:trPr>
          <w:tblHeader w:val="on"/>
        </w:trPr>
        <w:tc>
          <w:tcPr/>
          <w:p>
            <w:pPr>
              <w:pStyle w:val="Compact"/>
              <w:jc w:val="right"/>
            </w:pPr>
            <w:r>
              <w:t xml:space="preserve">No.</w:t>
            </w:r>
          </w:p>
        </w:tc>
        <w:tc>
          <w:tcPr/>
          <w:p>
            <w:pPr>
              <w:pStyle w:val="Compact"/>
            </w:pPr>
            <w:r>
              <w:t xml:space="preserve">Candidate point</w:t>
            </w:r>
          </w:p>
        </w:tc>
        <w:tc>
          <w:tcPr/>
          <w:p>
            <w:pPr>
              <w:pStyle w:val="Compact"/>
            </w:pPr>
            <w:r>
              <w:t xml:space="preserve">Rationale</w:t>
            </w:r>
          </w:p>
        </w:tc>
        <w:tc>
          <w:tcPr/>
          <w:p>
            <w:pPr>
              <w:pStyle w:val="Compact"/>
            </w:pPr>
            <w:r>
              <w:t xml:space="preserve">Source</w:t>
            </w:r>
          </w:p>
        </w:tc>
      </w:tr>
      <w:tr>
        <w:tc>
          <w:tcPr/>
          <w:p>
            <w:pPr>
              <w:pStyle w:val="Compact"/>
              <w:jc w:val="right"/>
            </w:pPr>
            <w:r>
              <w:t xml:space="preserve">113</w:t>
            </w:r>
          </w:p>
        </w:tc>
        <w:tc>
          <w:tcPr/>
          <w:p>
            <w:pPr>
              <w:pStyle w:val="Compact"/>
            </w:pPr>
            <w:r>
              <w:t xml:space="preserve">Post emergency numbers, site coordinates/Makani or GPS, gate directions, hazards and caller script at gate, control room and welfare areas.</w:t>
            </w:r>
          </w:p>
        </w:tc>
        <w:tc>
          <w:tcPr/>
          <w:p>
            <w:pPr>
              <w:pStyle w:val="Compact"/>
            </w:pPr>
            <w:r>
              <w:t xml:space="preserve">Responders need location and hazards quickly when access is flooded or communications are stressed.</w:t>
            </w:r>
          </w:p>
        </w:tc>
        <w:tc>
          <w:tcPr/>
          <w:p>
            <w:pPr>
              <w:pStyle w:val="Compact"/>
            </w:pPr>
            <w:r>
              <w:t xml:space="preserve">[F12; AJ2]</w:t>
            </w:r>
          </w:p>
        </w:tc>
      </w:tr>
      <w:tr>
        <w:tc>
          <w:tcPr/>
          <w:p>
            <w:pPr>
              <w:pStyle w:val="Compact"/>
              <w:jc w:val="right"/>
            </w:pPr>
            <w:r>
              <w:t xml:space="preserve">114</w:t>
            </w:r>
          </w:p>
        </w:tc>
        <w:tc>
          <w:tcPr/>
          <w:p>
            <w:pPr>
              <w:pStyle w:val="Compact"/>
            </w:pPr>
            <w:r>
              <w:t xml:space="preserve">Use 999 Police, 997 Civil Defence and 998 ambulance nationally unless the local/zone authority directs a specific route; follow local published numbers.</w:t>
            </w:r>
          </w:p>
        </w:tc>
        <w:tc>
          <w:tcPr/>
          <w:p>
            <w:pPr>
              <w:pStyle w:val="Compact"/>
            </w:pPr>
            <w:r>
              <w:t xml:space="preserve">Emergency routing varies in publications; do not delay a life-safety call while resolving a jurisdiction question.</w:t>
            </w:r>
          </w:p>
        </w:tc>
        <w:tc>
          <w:tcPr/>
          <w:p>
            <w:pPr>
              <w:pStyle w:val="Compact"/>
            </w:pPr>
            <w:r>
              <w:t xml:space="preserve">[F12; SH2]</w:t>
            </w:r>
          </w:p>
        </w:tc>
      </w:tr>
      <w:tr>
        <w:tc>
          <w:tcPr/>
          <w:p>
            <w:pPr>
              <w:pStyle w:val="Compact"/>
              <w:jc w:val="right"/>
            </w:pPr>
            <w:r>
              <w:t xml:space="preserve">115</w:t>
            </w:r>
          </w:p>
        </w:tc>
        <w:tc>
          <w:tcPr/>
          <w:p>
            <w:pPr>
              <w:pStyle w:val="Compact"/>
            </w:pPr>
            <w:r>
              <w:t xml:space="preserve">Keep an all-weather emergency-access route, clear gate, visible fire points and elevated muster areas outside flood paths.</w:t>
            </w:r>
          </w:p>
        </w:tc>
        <w:tc>
          <w:tcPr/>
          <w:p>
            <w:pPr>
              <w:pStyle w:val="Compact"/>
            </w:pPr>
            <w:r>
              <w:t xml:space="preserve">Flooded or obstructed access delays fire/rescue and compromises evacuation.</w:t>
            </w:r>
          </w:p>
        </w:tc>
        <w:tc>
          <w:tcPr/>
          <w:p>
            <w:pPr>
              <w:pStyle w:val="Compact"/>
            </w:pPr>
            <w:r>
              <w:t xml:space="preserve">[DB7; F5]</w:t>
            </w:r>
          </w:p>
        </w:tc>
      </w:tr>
      <w:tr>
        <w:tc>
          <w:tcPr/>
          <w:p>
            <w:pPr>
              <w:pStyle w:val="Compact"/>
              <w:jc w:val="right"/>
            </w:pPr>
            <w:r>
              <w:t xml:space="preserve">116</w:t>
            </w:r>
          </w:p>
        </w:tc>
        <w:tc>
          <w:tcPr/>
          <w:p>
            <w:pPr>
              <w:pStyle w:val="Compact"/>
            </w:pPr>
            <w:r>
              <w:t xml:space="preserve">Activate headcount, radio/telephone checks and subcontractor roll-call when work is stopped.</w:t>
            </w:r>
          </w:p>
        </w:tc>
        <w:tc>
          <w:tcPr/>
          <w:p>
            <w:pPr>
              <w:pStyle w:val="Compact"/>
            </w:pPr>
            <w:r>
              <w:t xml:space="preserve">A site cannot safely evacuate or restart if people are unaccounted for.</w:t>
            </w:r>
          </w:p>
        </w:tc>
        <w:tc>
          <w:tcPr/>
          <w:p>
            <w:pPr>
              <w:pStyle w:val="Compact"/>
            </w:pPr>
            <w:r>
              <w:t xml:space="preserve">[EV2; F14]</w:t>
            </w:r>
          </w:p>
        </w:tc>
      </w:tr>
      <w:tr>
        <w:tc>
          <w:tcPr/>
          <w:p>
            <w:pPr>
              <w:pStyle w:val="Compact"/>
              <w:jc w:val="right"/>
            </w:pPr>
            <w:r>
              <w:t xml:space="preserve">117</w:t>
            </w:r>
          </w:p>
        </w:tc>
        <w:tc>
          <w:tcPr/>
          <w:p>
            <w:pPr>
              <w:pStyle w:val="Compact"/>
            </w:pPr>
            <w:r>
              <w:t xml:space="preserve">Do not drive or walk through rising water, flood barriers, wadis, torrents or closed roads.</w:t>
            </w:r>
          </w:p>
        </w:tc>
        <w:tc>
          <w:tcPr/>
          <w:p>
            <w:pPr>
              <w:pStyle w:val="Compact"/>
            </w:pPr>
            <w:r>
              <w:t xml:space="preserve">Water depth, current, washout and electrical hazards are not reliably visible.</w:t>
            </w:r>
          </w:p>
        </w:tc>
        <w:tc>
          <w:tcPr/>
          <w:p>
            <w:pPr>
              <w:pStyle w:val="Compact"/>
            </w:pPr>
            <w:r>
              <w:t xml:space="preserve">[F4; F12]</w:t>
            </w:r>
          </w:p>
        </w:tc>
      </w:tr>
      <w:tr>
        <w:tc>
          <w:tcPr/>
          <w:p>
            <w:pPr>
              <w:pStyle w:val="Compact"/>
              <w:jc w:val="right"/>
            </w:pPr>
            <w:r>
              <w:t xml:space="preserve">118</w:t>
            </w:r>
          </w:p>
        </w:tc>
        <w:tc>
          <w:tcPr/>
          <w:p>
            <w:pPr>
              <w:pStyle w:val="Compact"/>
            </w:pPr>
            <w:r>
              <w:t xml:space="preserve">During the event, isolate energy where safe, secure loose items, protect drains and deploy only trained personnel under the approved plan.</w:t>
            </w:r>
          </w:p>
        </w:tc>
        <w:tc>
          <w:tcPr/>
          <w:p>
            <w:pPr>
              <w:pStyle w:val="Compact"/>
            </w:pPr>
            <w:r>
              <w:t xml:space="preserve">Uncontrolled response activity causes secondary electrical, lifting and drowning incidents.</w:t>
            </w:r>
          </w:p>
        </w:tc>
        <w:tc>
          <w:tcPr/>
          <w:p>
            <w:pPr>
              <w:pStyle w:val="Compact"/>
            </w:pPr>
            <w:r>
              <w:t xml:space="preserve">[F3; F4]</w:t>
            </w:r>
          </w:p>
        </w:tc>
      </w:tr>
      <w:tr>
        <w:tc>
          <w:tcPr/>
          <w:p>
            <w:pPr>
              <w:pStyle w:val="Compact"/>
              <w:jc w:val="right"/>
            </w:pPr>
            <w:r>
              <w:t xml:space="preserve">119</w:t>
            </w:r>
          </w:p>
        </w:tc>
        <w:tc>
          <w:tcPr/>
          <w:p>
            <w:pPr>
              <w:pStyle w:val="Compact"/>
            </w:pPr>
            <w:r>
              <w:t xml:space="preserve">Escalate public-drain obstruction, sewage overflow, utility damage, fire or pollution promptly through municipal, utility and environmental routes.</w:t>
            </w:r>
          </w:p>
        </w:tc>
        <w:tc>
          <w:tcPr/>
          <w:p>
            <w:pPr>
              <w:pStyle w:val="Compact"/>
            </w:pPr>
            <w:r>
              <w:t xml:space="preserve">The site must prevent off-site impact and allow the competent authority to coordinate response.</w:t>
            </w:r>
          </w:p>
        </w:tc>
        <w:tc>
          <w:tcPr/>
          <w:p>
            <w:pPr>
              <w:pStyle w:val="Compact"/>
            </w:pPr>
            <w:r>
              <w:t xml:space="preserve">[F9; SH2; AJ3]</w:t>
            </w:r>
          </w:p>
        </w:tc>
      </w:tr>
      <w:tr>
        <w:tc>
          <w:tcPr/>
          <w:p>
            <w:pPr>
              <w:pStyle w:val="Compact"/>
              <w:jc w:val="right"/>
            </w:pPr>
            <w:r>
              <w:t xml:space="preserve">120</w:t>
            </w:r>
          </w:p>
        </w:tc>
        <w:tc>
          <w:tcPr/>
          <w:p>
            <w:pPr>
              <w:pStyle w:val="Compact"/>
            </w:pPr>
            <w:r>
              <w:t xml:space="preserve">After the event, maintain exclusion zones and conduct a documented progressive re-entry—not a blanket restart.</w:t>
            </w:r>
          </w:p>
        </w:tc>
        <w:tc>
          <w:tcPr/>
          <w:p>
            <w:pPr>
              <w:pStyle w:val="Compact"/>
            </w:pPr>
            <w:r>
              <w:t xml:space="preserve">Electrical, structural, contamination and ground hazards recover at different rates.</w:t>
            </w:r>
          </w:p>
        </w:tc>
        <w:tc>
          <w:tcPr/>
          <w:p>
            <w:pPr>
              <w:pStyle w:val="Compact"/>
            </w:pPr>
            <w:r>
              <w:t xml:space="preserve">[F14; T4]</w:t>
            </w:r>
          </w:p>
        </w:tc>
      </w:tr>
      <w:tr>
        <w:tc>
          <w:tcPr/>
          <w:p>
            <w:pPr>
              <w:pStyle w:val="Compact"/>
              <w:jc w:val="right"/>
            </w:pPr>
            <w:r>
              <w:t xml:space="preserve">121</w:t>
            </w:r>
          </w:p>
        </w:tc>
        <w:tc>
          <w:tcPr/>
          <w:p>
            <w:pPr>
              <w:pStyle w:val="Compact"/>
            </w:pPr>
            <w:r>
              <w:t xml:space="preserve">Obtain competent documented release for excavations/slopes, electrical systems, lifting plant, scaffolds and temporary works.</w:t>
            </w:r>
          </w:p>
        </w:tc>
        <w:tc>
          <w:tcPr/>
          <w:p>
            <w:pPr>
              <w:pStyle w:val="Compact"/>
            </w:pPr>
            <w:r>
              <w:t xml:space="preserve">Elapsed time or a clear sky is not a technical safety acceptance.</w:t>
            </w:r>
          </w:p>
        </w:tc>
        <w:tc>
          <w:tcPr/>
          <w:p>
            <w:pPr>
              <w:pStyle w:val="Compact"/>
            </w:pPr>
            <w:r>
              <w:t xml:space="preserve">[AD3; AD4; AD5; AD6]</w:t>
            </w:r>
          </w:p>
        </w:tc>
      </w:tr>
      <w:tr>
        <w:tc>
          <w:tcPr/>
          <w:p>
            <w:pPr>
              <w:pStyle w:val="Compact"/>
              <w:jc w:val="right"/>
            </w:pPr>
            <w:r>
              <w:t xml:space="preserve">122</w:t>
            </w:r>
          </w:p>
        </w:tc>
        <w:tc>
          <w:tcPr/>
          <w:p>
            <w:pPr>
              <w:pStyle w:val="Compact"/>
            </w:pPr>
            <w:r>
              <w:t xml:space="preserve">Inspect roads, drainage, utilities, accommodation, potable water, sewage, fire systems and environmental controls before reopening.</w:t>
            </w:r>
          </w:p>
        </w:tc>
        <w:tc>
          <w:tcPr/>
          <w:p>
            <w:pPr>
              <w:pStyle w:val="Compact"/>
            </w:pPr>
            <w:r>
              <w:t xml:space="preserve">Recovery must cover welfare and off-site/environmental interfaces as well as work equipment.</w:t>
            </w:r>
          </w:p>
        </w:tc>
        <w:tc>
          <w:tcPr/>
          <w:p>
            <w:pPr>
              <w:pStyle w:val="Compact"/>
            </w:pPr>
            <w:r>
              <w:t xml:space="preserve">[F8; EN2]</w:t>
            </w:r>
          </w:p>
        </w:tc>
      </w:tr>
      <w:tr>
        <w:tc>
          <w:tcPr/>
          <w:p>
            <w:pPr>
              <w:pStyle w:val="Compact"/>
              <w:jc w:val="right"/>
            </w:pPr>
            <w:r>
              <w:t xml:space="preserve">123</w:t>
            </w:r>
          </w:p>
        </w:tc>
        <w:tc>
          <w:tcPr/>
          <w:p>
            <w:pPr>
              <w:pStyle w:val="Compact"/>
            </w:pPr>
            <w:r>
              <w:t xml:space="preserve">Photograph and map water levels, damaged assets, blocked drains, spills, discharge route and material condition before cleanup where safe.</w:t>
            </w:r>
          </w:p>
        </w:tc>
        <w:tc>
          <w:tcPr/>
          <w:p>
            <w:pPr>
              <w:pStyle w:val="Compact"/>
            </w:pPr>
            <w:r>
              <w:t xml:space="preserve">Evidence supports diagnosis, claims, authority reporting and risk-plan improvement.</w:t>
            </w:r>
          </w:p>
        </w:tc>
        <w:tc>
          <w:tcPr/>
          <w:p>
            <w:pPr>
              <w:pStyle w:val="Compact"/>
            </w:pPr>
            <w:r>
              <w:t xml:space="preserve">[EV3; EV2]</w:t>
            </w:r>
          </w:p>
        </w:tc>
      </w:tr>
      <w:tr>
        <w:tc>
          <w:tcPr/>
          <w:p>
            <w:pPr>
              <w:pStyle w:val="Compact"/>
              <w:jc w:val="right"/>
            </w:pPr>
            <w:r>
              <w:t xml:space="preserve">124</w:t>
            </w:r>
          </w:p>
        </w:tc>
        <w:tc>
          <w:tcPr/>
          <w:p>
            <w:pPr>
              <w:pStyle w:val="Compact"/>
            </w:pPr>
            <w:r>
              <w:t xml:space="preserve">Notify insurer and contract administrator promptly; log alerts, pump hours, stoppages, mitigation costs, waste and reinstatement approvals.</w:t>
            </w:r>
          </w:p>
        </w:tc>
        <w:tc>
          <w:tcPr/>
          <w:p>
            <w:pPr>
              <w:pStyle w:val="Compact"/>
            </w:pPr>
            <w:r>
              <w:t xml:space="preserve">Contemporaneous records distinguish extreme-weather loss from maintenance/temporary-works failure.</w:t>
            </w:r>
          </w:p>
        </w:tc>
        <w:tc>
          <w:tcPr/>
          <w:p>
            <w:pPr>
              <w:pStyle w:val="Compact"/>
            </w:pPr>
            <w:r>
              <w:t xml:space="preserve">[EV3; EV2]</w:t>
            </w:r>
          </w:p>
        </w:tc>
      </w:tr>
      <w:tr>
        <w:tc>
          <w:tcPr/>
          <w:p>
            <w:pPr>
              <w:pStyle w:val="Compact"/>
              <w:jc w:val="right"/>
            </w:pPr>
            <w:r>
              <w:t xml:space="preserve">125</w:t>
            </w:r>
          </w:p>
        </w:tc>
        <w:tc>
          <w:tcPr/>
          <w:p>
            <w:pPr>
              <w:pStyle w:val="Compact"/>
            </w:pPr>
            <w:r>
              <w:t xml:space="preserve">Remove contaminated silt/waste through approved routes, repair erosion, reinstate drainage and test water systems before reuse.</w:t>
            </w:r>
          </w:p>
        </w:tc>
        <w:tc>
          <w:tcPr/>
          <w:p>
            <w:pPr>
              <w:pStyle w:val="Compact"/>
            </w:pPr>
            <w:r>
              <w:t xml:space="preserve">Restoration is incomplete if pollutants remain or protective capacity is not restored.</w:t>
            </w:r>
          </w:p>
        </w:tc>
        <w:tc>
          <w:tcPr/>
          <w:p>
            <w:pPr>
              <w:pStyle w:val="Compact"/>
            </w:pPr>
            <w:r>
              <w:t xml:space="preserve">[F11; EN2]</w:t>
            </w:r>
          </w:p>
        </w:tc>
      </w:tr>
      <w:tr>
        <w:tc>
          <w:tcPr/>
          <w:p>
            <w:pPr>
              <w:pStyle w:val="Compact"/>
              <w:jc w:val="right"/>
            </w:pPr>
            <w:r>
              <w:t xml:space="preserve">126</w:t>
            </w:r>
          </w:p>
        </w:tc>
        <w:tc>
          <w:tcPr/>
          <w:p>
            <w:pPr>
              <w:pStyle w:val="Compact"/>
            </w:pPr>
            <w:r>
              <w:t xml:space="preserve">Conduct an after-action review that updates flood map, trigger matrix, emergency contacts, designs and drills.</w:t>
            </w:r>
          </w:p>
        </w:tc>
        <w:tc>
          <w:tcPr/>
          <w:p>
            <w:pPr>
              <w:pStyle w:val="Compact"/>
            </w:pPr>
            <w:r>
              <w:t xml:space="preserve">Business-continuity practice requires corrective action and continual improvement.</w:t>
            </w:r>
          </w:p>
        </w:tc>
        <w:tc>
          <w:tcPr/>
          <w:p>
            <w:pPr>
              <w:pStyle w:val="Compact"/>
            </w:pPr>
            <w:r>
              <w:t xml:space="preserve">[F14; EV7]</w:t>
            </w:r>
          </w:p>
        </w:tc>
      </w:tr>
    </w:tbl>
    <w:bookmarkEnd w:id="22"/>
    <w:bookmarkEnd w:id="23"/>
    <w:bookmarkStart w:id="118" w:name="verified-master-source-list"/>
    <w:p>
      <w:pPr>
        <w:pStyle w:val="Heading2"/>
      </w:pPr>
      <w:r>
        <w:t xml:space="preserve">5. Verified master source list</w:t>
      </w:r>
    </w:p>
    <w:p>
      <w:pPr>
        <w:pStyle w:val="FirstParagraph"/>
      </w:pPr>
      <w:r>
        <w:rPr>
          <w:b/>
          <w:bCs/>
        </w:rPr>
        <w:t xml:space="preserve">Status key.</w:t>
      </w:r>
      <w:r>
        <w:t xml:space="preserve"> </w:t>
      </w:r>
      <w:r>
        <w:t xml:space="preserve">“Verified official” means the supplying research identified an official government/authority/publisher page or legislation. “Verified official route; technical criteria not public” means the service page exists but the research could not inspect controlled technical conditions. International technical sources are</w:t>
      </w:r>
      <w:r>
        <w:t xml:space="preserve"> </w:t>
      </w:r>
      <w:r>
        <w:rPr>
          <w:b/>
          <w:bCs/>
        </w:rPr>
        <w:t xml:space="preserve">good practice, not UAE law</w:t>
      </w:r>
      <w:r>
        <w:t xml:space="preserve">. “Unverified” items are deliberately segregated in section 6 and are not used to establish a requirement.</w:t>
      </w:r>
    </w:p>
    <w:bookmarkStart w:id="45" w:name="uae-federal-national-and-event-evidence"/>
    <w:p>
      <w:pPr>
        <w:pStyle w:val="Heading3"/>
      </w:pPr>
      <w:r>
        <w:t xml:space="preserve">UAE federal / national and event evidence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Ref.</w:t>
            </w:r>
          </w:p>
        </w:tc>
        <w:tc>
          <w:tcPr/>
          <w:p>
            <w:pPr>
              <w:pStyle w:val="Compact"/>
            </w:pPr>
            <w:r>
              <w:t xml:space="preserve">Title + URL</w:t>
            </w:r>
          </w:p>
        </w:tc>
        <w:tc>
          <w:tcPr/>
          <w:p>
            <w:pPr>
              <w:pStyle w:val="Compact"/>
            </w:pPr>
            <w:r>
              <w:t xml:space="preserve">What it is used for</w:t>
            </w:r>
          </w:p>
        </w:tc>
        <w:tc>
          <w:tcPr/>
          <w:p>
            <w:pPr>
              <w:pStyle w:val="Compact"/>
            </w:pPr>
            <w:r>
              <w:t xml:space="preserve">Status</w:t>
            </w:r>
          </w:p>
        </w:tc>
      </w:tr>
      <w:tr>
        <w:tc>
          <w:tcPr/>
          <w:p>
            <w:pPr>
              <w:pStyle w:val="Compact"/>
            </w:pPr>
            <w:r>
              <w:rPr>
                <w:b/>
                <w:bCs/>
              </w:rPr>
              <w:t xml:space="preserve">F1</w:t>
            </w:r>
          </w:p>
        </w:tc>
        <w:tc>
          <w:tcPr/>
          <w:p>
            <w:pPr>
              <w:pStyle w:val="Compact"/>
            </w:pPr>
            <w:hyperlink r:id="rId24">
              <w:r>
                <w:rPr>
                  <w:rStyle w:val="Hyperlink"/>
                </w:rPr>
                <w:t xml:space="preserve">National Center of Meteorology — Forecast and warning map</w:t>
              </w:r>
            </w:hyperlink>
          </w:p>
        </w:tc>
        <w:tc>
          <w:tcPr/>
          <w:p>
            <w:pPr>
              <w:pStyle w:val="Compact"/>
            </w:pPr>
            <w:r>
              <w:t xml:space="preserve">Official forecast/warning feed; record project-area hazard text, issue time and validity.</w:t>
            </w:r>
          </w:p>
        </w:tc>
        <w:tc>
          <w:tcPr/>
          <w:p>
            <w:pPr>
              <w:pStyle w:val="Compact"/>
            </w:pPr>
            <w:r>
              <w:t xml:space="preserve">Verified official</w:t>
            </w:r>
          </w:p>
        </w:tc>
      </w:tr>
      <w:tr>
        <w:tc>
          <w:tcPr/>
          <w:p>
            <w:pPr>
              <w:pStyle w:val="Compact"/>
            </w:pPr>
            <w:r>
              <w:rPr>
                <w:b/>
                <w:bCs/>
              </w:rPr>
              <w:t xml:space="preserve">F2</w:t>
            </w:r>
          </w:p>
        </w:tc>
        <w:tc>
          <w:tcPr/>
          <w:p>
            <w:pPr>
              <w:pStyle w:val="Compact"/>
            </w:pPr>
            <w:hyperlink r:id="rId25">
              <w:r>
                <w:rPr>
                  <w:rStyle w:val="Hyperlink"/>
                </w:rPr>
                <w:t xml:space="preserve">NCEMA — National Early Warning System</w:t>
              </w:r>
            </w:hyperlink>
          </w:p>
        </w:tc>
        <w:tc>
          <w:tcPr/>
          <w:p>
            <w:pPr>
              <w:pStyle w:val="Compact"/>
            </w:pPr>
            <w:r>
              <w:t xml:space="preserve">National warning architecture and organisational preparedness.</w:t>
            </w:r>
          </w:p>
        </w:tc>
        <w:tc>
          <w:tcPr/>
          <w:p>
            <w:pPr>
              <w:pStyle w:val="Compact"/>
            </w:pPr>
            <w:r>
              <w:t xml:space="preserve">Verified official</w:t>
            </w:r>
          </w:p>
        </w:tc>
      </w:tr>
      <w:tr>
        <w:tc>
          <w:tcPr/>
          <w:p>
            <w:pPr>
              <w:pStyle w:val="Compact"/>
            </w:pPr>
            <w:r>
              <w:rPr>
                <w:b/>
                <w:bCs/>
              </w:rPr>
              <w:t xml:space="preserve">F3</w:t>
            </w:r>
          </w:p>
        </w:tc>
        <w:tc>
          <w:tcPr/>
          <w:p>
            <w:pPr>
              <w:pStyle w:val="Compact"/>
            </w:pPr>
            <w:hyperlink r:id="rId26">
              <w:r>
                <w:rPr>
                  <w:rStyle w:val="Hyperlink"/>
                </w:rPr>
                <w:t xml:space="preserve">NCEMA — Preventive measures for heavy rain, lightning and thunderstorms</w:t>
              </w:r>
            </w:hyperlink>
          </w:p>
        </w:tc>
        <w:tc>
          <w:tcPr/>
          <w:p>
            <w:pPr>
              <w:pStyle w:val="Compact"/>
            </w:pPr>
            <w:r>
              <w:t xml:space="preserve">Drainage checks, wind-secured items and public safety actions.</w:t>
            </w:r>
          </w:p>
        </w:tc>
        <w:tc>
          <w:tcPr/>
          <w:p>
            <w:pPr>
              <w:pStyle w:val="Compact"/>
            </w:pPr>
            <w:r>
              <w:t xml:space="preserve">Verified official</w:t>
            </w:r>
          </w:p>
        </w:tc>
      </w:tr>
      <w:tr>
        <w:tc>
          <w:tcPr/>
          <w:p>
            <w:pPr>
              <w:pStyle w:val="Compact"/>
            </w:pPr>
            <w:r>
              <w:rPr>
                <w:b/>
                <w:bCs/>
              </w:rPr>
              <w:t xml:space="preserve">F4</w:t>
            </w:r>
          </w:p>
        </w:tc>
        <w:tc>
          <w:tcPr/>
          <w:p>
            <w:pPr>
              <w:pStyle w:val="Compact"/>
            </w:pPr>
            <w:hyperlink r:id="rId27">
              <w:r>
                <w:rPr>
                  <w:rStyle w:val="Hyperlink"/>
                </w:rPr>
                <w:t xml:space="preserve">NCEMA — Your Guide for Emergencies</w:t>
              </w:r>
            </w:hyperlink>
          </w:p>
        </w:tc>
        <w:tc>
          <w:tcPr/>
          <w:p>
            <w:pPr>
              <w:pStyle w:val="Compact"/>
            </w:pPr>
            <w:r>
              <w:t xml:space="preserve">Flood, lightning, evacuation and electrical-risk guidance.</w:t>
            </w:r>
          </w:p>
        </w:tc>
        <w:tc>
          <w:tcPr/>
          <w:p>
            <w:pPr>
              <w:pStyle w:val="Compact"/>
            </w:pPr>
            <w:r>
              <w:t xml:space="preserve">Verified official</w:t>
            </w:r>
          </w:p>
        </w:tc>
      </w:tr>
      <w:tr>
        <w:tc>
          <w:tcPr/>
          <w:p>
            <w:pPr>
              <w:pStyle w:val="Compact"/>
            </w:pPr>
            <w:r>
              <w:rPr>
                <w:b/>
                <w:bCs/>
              </w:rPr>
              <w:t xml:space="preserve">F5</w:t>
            </w:r>
          </w:p>
        </w:tc>
        <w:tc>
          <w:tcPr/>
          <w:p>
            <w:pPr>
              <w:pStyle w:val="Compact"/>
            </w:pPr>
            <w:hyperlink r:id="rId28">
              <w:r>
                <w:rPr>
                  <w:rStyle w:val="Hyperlink"/>
                </w:rPr>
                <w:t xml:space="preserve">Federal Decree-Law No. 35 of 2024 — Reorganisation of Civil Defence Authority</w:t>
              </w:r>
            </w:hyperlink>
          </w:p>
        </w:tc>
        <w:tc>
          <w:tcPr/>
          <w:p>
            <w:pPr>
              <w:pStyle w:val="Compact"/>
            </w:pPr>
            <w:r>
              <w:t xml:space="preserve">Civil Defence Authority within NCEMA; planning, alerting, evacuation, response and restoration.</w:t>
            </w:r>
          </w:p>
        </w:tc>
        <w:tc>
          <w:tcPr/>
          <w:p>
            <w:pPr>
              <w:pStyle w:val="Compact"/>
            </w:pPr>
            <w:r>
              <w:t xml:space="preserve">Verified official legislation</w:t>
            </w:r>
          </w:p>
        </w:tc>
      </w:tr>
      <w:tr>
        <w:tc>
          <w:tcPr/>
          <w:p>
            <w:pPr>
              <w:pStyle w:val="Compact"/>
            </w:pPr>
            <w:r>
              <w:rPr>
                <w:b/>
                <w:bCs/>
              </w:rPr>
              <w:t xml:space="preserve">F6</w:t>
            </w:r>
          </w:p>
        </w:tc>
        <w:tc>
          <w:tcPr/>
          <w:p>
            <w:pPr>
              <w:pStyle w:val="Compact"/>
            </w:pPr>
            <w:hyperlink r:id="rId29">
              <w:r>
                <w:rPr>
                  <w:rStyle w:val="Hyperlink"/>
                </w:rPr>
                <w:t xml:space="preserve">MOHRE — Exceptional-weather and remote-work circular, 8 March 2024</w:t>
              </w:r>
            </w:hyperlink>
          </w:p>
        </w:tc>
        <w:tc>
          <w:tcPr/>
          <w:p>
            <w:pPr>
              <w:pStyle w:val="Compact"/>
            </w:pPr>
            <w:r>
              <w:t xml:space="preserve">Employer weather precautions, remote work where feasible and local-direction compliance.</w:t>
            </w:r>
          </w:p>
        </w:tc>
        <w:tc>
          <w:tcPr/>
          <w:p>
            <w:pPr>
              <w:pStyle w:val="Compact"/>
            </w:pPr>
            <w:r>
              <w:t xml:space="preserve">Verified official</w:t>
            </w:r>
          </w:p>
        </w:tc>
      </w:tr>
      <w:tr>
        <w:tc>
          <w:tcPr/>
          <w:p>
            <w:pPr>
              <w:pStyle w:val="Compact"/>
            </w:pPr>
            <w:r>
              <w:rPr>
                <w:b/>
                <w:bCs/>
              </w:rPr>
              <w:t xml:space="preserve">F7</w:t>
            </w:r>
          </w:p>
        </w:tc>
        <w:tc>
          <w:tcPr/>
          <w:p>
            <w:pPr>
              <w:pStyle w:val="Compact"/>
            </w:pPr>
            <w:hyperlink r:id="rId30">
              <w:r>
                <w:rPr>
                  <w:rStyle w:val="Hyperlink"/>
                </w:rPr>
                <w:t xml:space="preserve">Cabinet Resolution No. 1 of 2022 — executive regulations for employment relations</w:t>
              </w:r>
            </w:hyperlink>
          </w:p>
        </w:tc>
        <w:tc>
          <w:tcPr/>
          <w:p>
            <w:pPr>
              <w:pStyle w:val="Compact"/>
            </w:pPr>
            <w:r>
              <w:t xml:space="preserve">Article 15: qualifying bad-weather/NCM-warning transit delay is working time.</w:t>
            </w:r>
          </w:p>
        </w:tc>
        <w:tc>
          <w:tcPr/>
          <w:p>
            <w:pPr>
              <w:pStyle w:val="Compact"/>
            </w:pPr>
            <w:r>
              <w:t xml:space="preserve">Verified official legislation</w:t>
            </w:r>
          </w:p>
        </w:tc>
      </w:tr>
      <w:tr>
        <w:tc>
          <w:tcPr/>
          <w:p>
            <w:pPr>
              <w:pStyle w:val="Compact"/>
            </w:pPr>
            <w:r>
              <w:rPr>
                <w:b/>
                <w:bCs/>
              </w:rPr>
              <w:t xml:space="preserve">F8</w:t>
            </w:r>
          </w:p>
        </w:tc>
        <w:tc>
          <w:tcPr/>
          <w:p>
            <w:pPr>
              <w:pStyle w:val="Compact"/>
            </w:pPr>
            <w:hyperlink r:id="rId31">
              <w:r>
                <w:rPr>
                  <w:rStyle w:val="Hyperlink"/>
                </w:rPr>
                <w:t xml:space="preserve">UAE Government — Labour accommodation standards</w:t>
              </w:r>
            </w:hyperlink>
          </w:p>
        </w:tc>
        <w:tc>
          <w:tcPr/>
          <w:p>
            <w:pPr>
              <w:pStyle w:val="Compact"/>
            </w:pPr>
            <w:r>
              <w:t xml:space="preserve">Accommodation siting, water, sewage, hygiene, exits and fire-system baseline.</w:t>
            </w:r>
          </w:p>
        </w:tc>
        <w:tc>
          <w:tcPr/>
          <w:p>
            <w:pPr>
              <w:pStyle w:val="Compact"/>
            </w:pPr>
            <w:r>
              <w:t xml:space="preserve">Verified official</w:t>
            </w:r>
          </w:p>
        </w:tc>
      </w:tr>
      <w:tr>
        <w:tc>
          <w:tcPr/>
          <w:p>
            <w:pPr>
              <w:pStyle w:val="Compact"/>
            </w:pPr>
            <w:r>
              <w:rPr>
                <w:b/>
                <w:bCs/>
              </w:rPr>
              <w:t xml:space="preserve">F9</w:t>
            </w:r>
          </w:p>
        </w:tc>
        <w:tc>
          <w:tcPr/>
          <w:p>
            <w:pPr>
              <w:pStyle w:val="Compact"/>
            </w:pPr>
            <w:hyperlink r:id="rId32">
              <w:r>
                <w:rPr>
                  <w:rStyle w:val="Hyperlink"/>
                </w:rPr>
                <w:t xml:space="preserve">Federal Law No. 24 of 1999 — Protection and Development of the Environment</w:t>
              </w:r>
            </w:hyperlink>
          </w:p>
        </w:tc>
        <w:tc>
          <w:tcPr/>
          <w:p>
            <w:pPr>
              <w:pStyle w:val="Compact"/>
            </w:pPr>
            <w:r>
              <w:t xml:space="preserve">Untreated-pollution prohibition; hazardous-substance and reserve controls.</w:t>
            </w:r>
          </w:p>
        </w:tc>
        <w:tc>
          <w:tcPr/>
          <w:p>
            <w:pPr>
              <w:pStyle w:val="Compact"/>
            </w:pPr>
            <w:r>
              <w:t xml:space="preserve">Verified official legislation</w:t>
            </w:r>
          </w:p>
        </w:tc>
      </w:tr>
      <w:tr>
        <w:tc>
          <w:tcPr/>
          <w:p>
            <w:pPr>
              <w:pStyle w:val="Compact"/>
            </w:pPr>
            <w:r>
              <w:rPr>
                <w:b/>
                <w:bCs/>
              </w:rPr>
              <w:t xml:space="preserve">F10</w:t>
            </w:r>
          </w:p>
        </w:tc>
        <w:tc>
          <w:tcPr/>
          <w:p>
            <w:pPr>
              <w:pStyle w:val="Compact"/>
            </w:pPr>
            <w:hyperlink r:id="rId33">
              <w:r>
                <w:rPr>
                  <w:rStyle w:val="Hyperlink"/>
                </w:rPr>
                <w:t xml:space="preserve">Federal Law No. 13 of 2020 — Public Health</w:t>
              </w:r>
            </w:hyperlink>
          </w:p>
        </w:tc>
        <w:tc>
          <w:tcPr/>
          <w:p>
            <w:pPr>
              <w:pStyle w:val="Compact"/>
            </w:pPr>
            <w:r>
              <w:t xml:space="preserve">Potable-water, wastewater, waste and environmental/occupational-health duties.</w:t>
            </w:r>
          </w:p>
        </w:tc>
        <w:tc>
          <w:tcPr/>
          <w:p>
            <w:pPr>
              <w:pStyle w:val="Compact"/>
            </w:pPr>
            <w:r>
              <w:t xml:space="preserve">Verified official legislation</w:t>
            </w:r>
          </w:p>
        </w:tc>
      </w:tr>
      <w:tr>
        <w:tc>
          <w:tcPr/>
          <w:p>
            <w:pPr>
              <w:pStyle w:val="Compact"/>
            </w:pPr>
            <w:r>
              <w:rPr>
                <w:b/>
                <w:bCs/>
              </w:rPr>
              <w:t xml:space="preserve">F11</w:t>
            </w:r>
          </w:p>
        </w:tc>
        <w:tc>
          <w:tcPr/>
          <w:p>
            <w:pPr>
              <w:pStyle w:val="Compact"/>
            </w:pPr>
            <w:hyperlink r:id="rId34">
              <w:r>
                <w:rPr>
                  <w:rStyle w:val="Hyperlink"/>
                </w:rPr>
                <w:t xml:space="preserve">Federal Law No. 12 of 2018 — Integrated Waste Management</w:t>
              </w:r>
            </w:hyperlink>
          </w:p>
        </w:tc>
        <w:tc>
          <w:tcPr/>
          <w:p>
            <w:pPr>
              <w:pStyle w:val="Compact"/>
            </w:pPr>
            <w:r>
              <w:t xml:space="preserve">C&amp;D, sewage, hazardous and oil-waste segregation/disposal; polluter restoration liability.</w:t>
            </w:r>
          </w:p>
        </w:tc>
        <w:tc>
          <w:tcPr/>
          <w:p>
            <w:pPr>
              <w:pStyle w:val="Compact"/>
            </w:pPr>
            <w:r>
              <w:t xml:space="preserve">Verified official legislation</w:t>
            </w:r>
          </w:p>
        </w:tc>
      </w:tr>
      <w:tr>
        <w:tc>
          <w:tcPr/>
          <w:p>
            <w:pPr>
              <w:pStyle w:val="Compact"/>
            </w:pPr>
            <w:r>
              <w:rPr>
                <w:b/>
                <w:bCs/>
              </w:rPr>
              <w:t xml:space="preserve">F12</w:t>
            </w:r>
          </w:p>
        </w:tc>
        <w:tc>
          <w:tcPr/>
          <w:p>
            <w:pPr>
              <w:pStyle w:val="Compact"/>
            </w:pPr>
            <w:hyperlink r:id="rId35">
              <w:r>
                <w:rPr>
                  <w:rStyle w:val="Hyperlink"/>
                </w:rPr>
                <w:t xml:space="preserve">UAE Government — Handling emergencies</w:t>
              </w:r>
            </w:hyperlink>
          </w:p>
        </w:tc>
        <w:tc>
          <w:tcPr/>
          <w:p>
            <w:pPr>
              <w:pStyle w:val="Compact"/>
            </w:pPr>
            <w:r>
              <w:t xml:space="preserve">National emergency routes and weather-warning information.</w:t>
            </w:r>
          </w:p>
        </w:tc>
        <w:tc>
          <w:tcPr/>
          <w:p>
            <w:pPr>
              <w:pStyle w:val="Compact"/>
            </w:pPr>
            <w:r>
              <w:t xml:space="preserve">Verified official</w:t>
            </w:r>
          </w:p>
        </w:tc>
      </w:tr>
      <w:tr>
        <w:tc>
          <w:tcPr/>
          <w:p>
            <w:pPr>
              <w:pStyle w:val="Compact"/>
            </w:pPr>
            <w:r>
              <w:rPr>
                <w:b/>
                <w:bCs/>
              </w:rPr>
              <w:t xml:space="preserve">F13</w:t>
            </w:r>
          </w:p>
        </w:tc>
        <w:tc>
          <w:tcPr/>
          <w:p>
            <w:pPr>
              <w:pStyle w:val="Compact"/>
            </w:pPr>
            <w:hyperlink r:id="rId36">
              <w:r>
                <w:rPr>
                  <w:rStyle w:val="Hyperlink"/>
                </w:rPr>
                <w:t xml:space="preserve">MoEI — Rain-affected roads and dams operational plan, 9 May 2024</w:t>
              </w:r>
            </w:hyperlink>
          </w:p>
        </w:tc>
        <w:tc>
          <w:tcPr/>
          <w:p>
            <w:pPr>
              <w:pStyle w:val="Compact"/>
            </w:pPr>
            <w:r>
              <w:t xml:space="preserve">Federal-road, dam and drainage-recovery context.</w:t>
            </w:r>
          </w:p>
        </w:tc>
        <w:tc>
          <w:tcPr/>
          <w:p>
            <w:pPr>
              <w:pStyle w:val="Compact"/>
            </w:pPr>
            <w:r>
              <w:t xml:space="preserve">Verified official</w:t>
            </w:r>
          </w:p>
        </w:tc>
      </w:tr>
      <w:tr>
        <w:tc>
          <w:tcPr/>
          <w:p>
            <w:pPr>
              <w:pStyle w:val="Compact"/>
            </w:pPr>
            <w:r>
              <w:rPr>
                <w:b/>
                <w:bCs/>
              </w:rPr>
              <w:t xml:space="preserve">F14</w:t>
            </w:r>
          </w:p>
        </w:tc>
        <w:tc>
          <w:tcPr/>
          <w:p>
            <w:pPr>
              <w:pStyle w:val="Compact"/>
            </w:pPr>
            <w:hyperlink r:id="rId37">
              <w:r>
                <w:rPr>
                  <w:rStyle w:val="Hyperlink"/>
                </w:rPr>
                <w:t xml:space="preserve">NCEMA — Business Continuity Management Standard and Guide</w:t>
              </w:r>
            </w:hyperlink>
          </w:p>
        </w:tc>
        <w:tc>
          <w:tcPr/>
          <w:p>
            <w:pPr>
              <w:pStyle w:val="Compact"/>
            </w:pPr>
            <w:r>
              <w:t xml:space="preserve">Exercise, reporting, corrective action and continual-improvement framework.</w:t>
            </w:r>
          </w:p>
        </w:tc>
        <w:tc>
          <w:tcPr/>
          <w:p>
            <w:pPr>
              <w:pStyle w:val="Compact"/>
            </w:pPr>
            <w:r>
              <w:t xml:space="preserve">Verified official</w:t>
            </w:r>
          </w:p>
        </w:tc>
      </w:tr>
      <w:tr>
        <w:tc>
          <w:tcPr/>
          <w:p>
            <w:pPr>
              <w:pStyle w:val="Compact"/>
            </w:pPr>
            <w:r>
              <w:rPr>
                <w:b/>
                <w:bCs/>
              </w:rPr>
              <w:t xml:space="preserve">EV1</w:t>
            </w:r>
          </w:p>
        </w:tc>
        <w:tc>
          <w:tcPr/>
          <w:p>
            <w:pPr>
              <w:pStyle w:val="Compact"/>
            </w:pPr>
            <w:hyperlink r:id="rId38">
              <w:r>
                <w:rPr>
                  <w:rStyle w:val="Hyperlink"/>
                </w:rPr>
                <w:t xml:space="preserve">NCM/WAM — UAE witnesses largest rainfall in 75 years, 17 April 2024</w:t>
              </w:r>
            </w:hyperlink>
          </w:p>
        </w:tc>
        <w:tc>
          <w:tcPr/>
          <w:p>
            <w:pPr>
              <w:pStyle w:val="Compact"/>
            </w:pPr>
            <w:r>
              <w:t xml:space="preserve">Official April 2024 rainfall context and 254 mm Khatm Al Shakla figure.</w:t>
            </w:r>
          </w:p>
        </w:tc>
        <w:tc>
          <w:tcPr/>
          <w:p>
            <w:pPr>
              <w:pStyle w:val="Compact"/>
            </w:pPr>
            <w:r>
              <w:t xml:space="preserve">Verified official news</w:t>
            </w:r>
          </w:p>
        </w:tc>
      </w:tr>
      <w:tr>
        <w:tc>
          <w:tcPr/>
          <w:p>
            <w:pPr>
              <w:pStyle w:val="Compact"/>
            </w:pPr>
            <w:r>
              <w:rPr>
                <w:b/>
                <w:bCs/>
              </w:rPr>
              <w:t xml:space="preserve">EV2</w:t>
            </w:r>
          </w:p>
        </w:tc>
        <w:tc>
          <w:tcPr/>
          <w:p>
            <w:pPr>
              <w:pStyle w:val="Compact"/>
            </w:pPr>
            <w:hyperlink r:id="rId39">
              <w:r>
                <w:rPr>
                  <w:rStyle w:val="Hyperlink"/>
                </w:rPr>
                <w:t xml:space="preserve">WAM — Ministry of Interior and NCEMA detail April 2024 response, 28 April 2024</w:t>
              </w:r>
            </w:hyperlink>
          </w:p>
        </w:tc>
        <w:tc>
          <w:tcPr/>
          <w:p>
            <w:pPr>
              <w:pStyle w:val="Compact"/>
            </w:pPr>
            <w:r>
              <w:t xml:space="preserve">Response-scale, evacuation, transport and recovery evidence.</w:t>
            </w:r>
          </w:p>
        </w:tc>
        <w:tc>
          <w:tcPr/>
          <w:p>
            <w:pPr>
              <w:pStyle w:val="Compact"/>
            </w:pPr>
            <w:r>
              <w:t xml:space="preserve">Verified official news</w:t>
            </w:r>
          </w:p>
        </w:tc>
      </w:tr>
      <w:tr>
        <w:tc>
          <w:tcPr/>
          <w:p>
            <w:pPr>
              <w:pStyle w:val="Compact"/>
            </w:pPr>
            <w:r>
              <w:rPr>
                <w:b/>
                <w:bCs/>
              </w:rPr>
              <w:t xml:space="preserve">EV3</w:t>
            </w:r>
          </w:p>
        </w:tc>
        <w:tc>
          <w:tcPr/>
          <w:p>
            <w:pPr>
              <w:pStyle w:val="Compact"/>
            </w:pPr>
            <w:hyperlink r:id="rId40">
              <w:r>
                <w:rPr>
                  <w:rStyle w:val="Hyperlink"/>
                </w:rPr>
                <w:t xml:space="preserve">Dubai Government Media Office — Cabinet relief and infrastructure committee, 24 April 2024</w:t>
              </w:r>
            </w:hyperlink>
          </w:p>
        </w:tc>
        <w:tc>
          <w:tcPr/>
          <w:p>
            <w:pPr>
              <w:pStyle w:val="Compact"/>
            </w:pPr>
            <w:r>
              <w:t xml:space="preserve">AED 2bn relief and flood/infrastructure assessment committee.</w:t>
            </w:r>
          </w:p>
        </w:tc>
        <w:tc>
          <w:tcPr/>
          <w:p>
            <w:pPr>
              <w:pStyle w:val="Compact"/>
            </w:pPr>
            <w:r>
              <w:t xml:space="preserve">Verified official news</w:t>
            </w:r>
          </w:p>
        </w:tc>
      </w:tr>
      <w:tr>
        <w:tc>
          <w:tcPr/>
          <w:p>
            <w:pPr>
              <w:pStyle w:val="Compact"/>
            </w:pPr>
            <w:r>
              <w:rPr>
                <w:b/>
                <w:bCs/>
              </w:rPr>
              <w:t xml:space="preserve">EV4</w:t>
            </w:r>
          </w:p>
        </w:tc>
        <w:tc>
          <w:tcPr/>
          <w:p>
            <w:pPr>
              <w:pStyle w:val="Compact"/>
            </w:pPr>
            <w:hyperlink r:id="rId41">
              <w:r>
                <w:rPr>
                  <w:rStyle w:val="Hyperlink"/>
                </w:rPr>
                <w:t xml:space="preserve">Dubai Municipality/Dubai Media Office — Post-rain pest-control strategies, 5 May 2024</w:t>
              </w:r>
            </w:hyperlink>
          </w:p>
        </w:tc>
        <w:tc>
          <w:tcPr/>
          <w:p>
            <w:pPr>
              <w:pStyle w:val="Compact"/>
            </w:pPr>
            <w:r>
              <w:t xml:space="preserve">Stagnant-water, outlet and construction-site post-event controls.</w:t>
            </w:r>
          </w:p>
        </w:tc>
        <w:tc>
          <w:tcPr/>
          <w:p>
            <w:pPr>
              <w:pStyle w:val="Compact"/>
            </w:pPr>
            <w:r>
              <w:t xml:space="preserve">Verified official news</w:t>
            </w:r>
          </w:p>
        </w:tc>
      </w:tr>
      <w:tr>
        <w:tc>
          <w:tcPr/>
          <w:p>
            <w:pPr>
              <w:pStyle w:val="Compact"/>
            </w:pPr>
            <w:r>
              <w:rPr>
                <w:b/>
                <w:bCs/>
              </w:rPr>
              <w:t xml:space="preserve">EV5</w:t>
            </w:r>
          </w:p>
        </w:tc>
        <w:tc>
          <w:tcPr/>
          <w:p>
            <w:pPr>
              <w:pStyle w:val="Compact"/>
            </w:pPr>
            <w:hyperlink r:id="rId42">
              <w:r>
                <w:rPr>
                  <w:rStyle w:val="Hyperlink"/>
                </w:rPr>
                <w:t xml:space="preserve">Dubai Government Media Office — Tasreef contracts, 13 April 2025</w:t>
              </w:r>
            </w:hyperlink>
          </w:p>
        </w:tc>
        <w:tc>
          <w:tcPr/>
          <w:p>
            <w:pPr>
              <w:pStyle w:val="Compact"/>
            </w:pPr>
            <w:r>
              <w:t xml:space="preserve">Strategic drainage investment; not a site-specific flood guarantee.</w:t>
            </w:r>
          </w:p>
        </w:tc>
        <w:tc>
          <w:tcPr/>
          <w:p>
            <w:pPr>
              <w:pStyle w:val="Compact"/>
            </w:pPr>
            <w:r>
              <w:t xml:space="preserve">Verified official news</w:t>
            </w:r>
          </w:p>
        </w:tc>
      </w:tr>
      <w:tr>
        <w:tc>
          <w:tcPr/>
          <w:p>
            <w:pPr>
              <w:pStyle w:val="Compact"/>
            </w:pPr>
            <w:r>
              <w:rPr>
                <w:b/>
                <w:bCs/>
              </w:rPr>
              <w:t xml:space="preserve">EV6</w:t>
            </w:r>
          </w:p>
        </w:tc>
        <w:tc>
          <w:tcPr/>
          <w:p>
            <w:pPr>
              <w:pStyle w:val="Compact"/>
            </w:pPr>
            <w:hyperlink r:id="rId43">
              <w:r>
                <w:rPr>
                  <w:rStyle w:val="Hyperlink"/>
                </w:rPr>
                <w:t xml:space="preserve">Al Ain Municipality/DMT — Box Culvert Project, 30 August 2025</w:t>
              </w:r>
            </w:hyperlink>
          </w:p>
        </w:tc>
        <w:tc>
          <w:tcPr/>
          <w:p>
            <w:pPr>
              <w:pStyle w:val="Compact"/>
            </w:pPr>
            <w:r>
              <w:t xml:space="preserve">Al Ain culvert capacity/length announcement; length discrepancy noted below.</w:t>
            </w:r>
          </w:p>
        </w:tc>
        <w:tc>
          <w:tcPr/>
          <w:p>
            <w:pPr>
              <w:pStyle w:val="Compact"/>
            </w:pPr>
            <w:r>
              <w:t xml:space="preserve">Verified official news</w:t>
            </w:r>
          </w:p>
        </w:tc>
      </w:tr>
      <w:tr>
        <w:tc>
          <w:tcPr/>
          <w:p>
            <w:pPr>
              <w:pStyle w:val="Compact"/>
            </w:pPr>
            <w:r>
              <w:rPr>
                <w:b/>
                <w:bCs/>
              </w:rPr>
              <w:t xml:space="preserve">EV7</w:t>
            </w:r>
          </w:p>
        </w:tc>
        <w:tc>
          <w:tcPr/>
          <w:p>
            <w:pPr>
              <w:pStyle w:val="Compact"/>
            </w:pPr>
            <w:hyperlink r:id="rId44">
              <w:r>
                <w:rPr>
                  <w:rStyle w:val="Hyperlink"/>
                </w:rPr>
                <w:t xml:space="preserve">Dubai Municipality — teams manage weather impacts, 18 December 2025</w:t>
              </w:r>
            </w:hyperlink>
          </w:p>
        </w:tc>
        <w:tc>
          <w:tcPr/>
          <w:p>
            <w:pPr>
              <w:pStyle w:val="Compact"/>
            </w:pPr>
            <w:r>
              <w:t xml:space="preserve">Preventive inspections, pumping lines, temporary lakes and reporting readiness.</w:t>
            </w:r>
          </w:p>
        </w:tc>
        <w:tc>
          <w:tcPr/>
          <w:p>
            <w:pPr>
              <w:pStyle w:val="Compact"/>
            </w:pPr>
            <w:r>
              <w:t xml:space="preserve">Verified official news</w:t>
            </w:r>
          </w:p>
        </w:tc>
      </w:tr>
    </w:tbl>
    <w:bookmarkEnd w:id="45"/>
    <w:bookmarkStart w:id="53" w:name="abu-dhabi"/>
    <w:p>
      <w:pPr>
        <w:pStyle w:val="Heading3"/>
      </w:pPr>
      <w:r>
        <w:t xml:space="preserve">Abu Dhabi</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Ref.</w:t>
            </w:r>
          </w:p>
        </w:tc>
        <w:tc>
          <w:tcPr/>
          <w:p>
            <w:pPr>
              <w:pStyle w:val="Compact"/>
            </w:pPr>
            <w:r>
              <w:t xml:space="preserve">Title + URL</w:t>
            </w:r>
          </w:p>
        </w:tc>
        <w:tc>
          <w:tcPr/>
          <w:p>
            <w:pPr>
              <w:pStyle w:val="Compact"/>
            </w:pPr>
            <w:r>
              <w:t xml:space="preserve">What it is used for</w:t>
            </w:r>
          </w:p>
        </w:tc>
        <w:tc>
          <w:tcPr/>
          <w:p>
            <w:pPr>
              <w:pStyle w:val="Compact"/>
            </w:pPr>
            <w:r>
              <w:t xml:space="preserve">Status</w:t>
            </w:r>
          </w:p>
        </w:tc>
      </w:tr>
      <w:tr>
        <w:tc>
          <w:tcPr/>
          <w:p>
            <w:pPr>
              <w:pStyle w:val="Compact"/>
            </w:pPr>
            <w:r>
              <w:rPr>
                <w:b/>
                <w:bCs/>
              </w:rPr>
              <w:t xml:space="preserve">AD1</w:t>
            </w:r>
          </w:p>
        </w:tc>
        <w:tc>
          <w:tcPr/>
          <w:p>
            <w:pPr>
              <w:pStyle w:val="Compact"/>
            </w:pPr>
            <w:hyperlink r:id="rId46">
              <w:r>
                <w:rPr>
                  <w:rStyle w:val="Hyperlink"/>
                </w:rPr>
                <w:t xml:space="preserve">DMT — Abu Dhabi Emirate Guideline for Infrastructure Services Standards</w:t>
              </w:r>
            </w:hyperlink>
          </w:p>
        </w:tc>
        <w:tc>
          <w:tcPr/>
          <w:p>
            <w:pPr>
              <w:pStyle w:val="Compact"/>
            </w:pPr>
            <w:r>
              <w:t xml:space="preserve">DMT stormwater documents, NOC lifecycle and municipal/asset-owner interface.</w:t>
            </w:r>
          </w:p>
        </w:tc>
        <w:tc>
          <w:tcPr/>
          <w:p>
            <w:pPr>
              <w:pStyle w:val="Compact"/>
            </w:pPr>
            <w:r>
              <w:t xml:space="preserve">Verified official</w:t>
            </w:r>
          </w:p>
        </w:tc>
      </w:tr>
      <w:tr>
        <w:tc>
          <w:tcPr/>
          <w:p>
            <w:pPr>
              <w:pStyle w:val="Compact"/>
            </w:pPr>
            <w:r>
              <w:rPr>
                <w:b/>
                <w:bCs/>
              </w:rPr>
              <w:t xml:space="preserve">AD2</w:t>
            </w:r>
          </w:p>
        </w:tc>
        <w:tc>
          <w:tcPr/>
          <w:p>
            <w:pPr>
              <w:pStyle w:val="Compact"/>
            </w:pPr>
            <w:hyperlink r:id="rId47">
              <w:r>
                <w:rPr>
                  <w:rStyle w:val="Hyperlink"/>
                </w:rPr>
                <w:t xml:space="preserve">ADPHC — ADOSH-SF Codes of Practice index</w:t>
              </w:r>
            </w:hyperlink>
          </w:p>
        </w:tc>
        <w:tc>
          <w:tcPr/>
          <w:p>
            <w:pPr>
              <w:pStyle w:val="Compact"/>
            </w:pPr>
            <w:r>
              <w:t xml:space="preserve">Current code index for electrical, excavation, scaffolding, lifting, PTW and accommodation.</w:t>
            </w:r>
          </w:p>
        </w:tc>
        <w:tc>
          <w:tcPr/>
          <w:p>
            <w:pPr>
              <w:pStyle w:val="Compact"/>
            </w:pPr>
            <w:r>
              <w:t xml:space="preserve">Verified official</w:t>
            </w:r>
          </w:p>
        </w:tc>
      </w:tr>
      <w:tr>
        <w:tc>
          <w:tcPr/>
          <w:p>
            <w:pPr>
              <w:pStyle w:val="Compact"/>
            </w:pPr>
            <w:r>
              <w:rPr>
                <w:b/>
                <w:bCs/>
              </w:rPr>
              <w:t xml:space="preserve">AD3</w:t>
            </w:r>
          </w:p>
        </w:tc>
        <w:tc>
          <w:tcPr/>
          <w:p>
            <w:pPr>
              <w:pStyle w:val="Compact"/>
            </w:pPr>
            <w:hyperlink r:id="rId48">
              <w:r>
                <w:rPr>
                  <w:rStyle w:val="Hyperlink"/>
                </w:rPr>
                <w:t xml:space="preserve">ADOSH-SF CoP 29.0 — Excavation Work</w:t>
              </w:r>
            </w:hyperlink>
          </w:p>
        </w:tc>
        <w:tc>
          <w:tcPr/>
          <w:p>
            <w:pPr>
              <w:pStyle w:val="Compact"/>
            </w:pPr>
            <w:r>
              <w:t xml:space="preserve">Excavation inspection, flooding, escape and silty-water discharge control.</w:t>
            </w:r>
          </w:p>
        </w:tc>
        <w:tc>
          <w:tcPr/>
          <w:p>
            <w:pPr>
              <w:pStyle w:val="Compact"/>
            </w:pPr>
            <w:r>
              <w:t xml:space="preserve">Verified official</w:t>
            </w:r>
          </w:p>
        </w:tc>
      </w:tr>
      <w:tr>
        <w:tc>
          <w:tcPr/>
          <w:p>
            <w:pPr>
              <w:pStyle w:val="Compact"/>
            </w:pPr>
            <w:r>
              <w:rPr>
                <w:b/>
                <w:bCs/>
              </w:rPr>
              <w:t xml:space="preserve">AD4</w:t>
            </w:r>
          </w:p>
        </w:tc>
        <w:tc>
          <w:tcPr/>
          <w:p>
            <w:pPr>
              <w:pStyle w:val="Compact"/>
            </w:pPr>
            <w:hyperlink r:id="rId49">
              <w:r>
                <w:rPr>
                  <w:rStyle w:val="Hyperlink"/>
                </w:rPr>
                <w:t xml:space="preserve">ADOSH-SF CoP 15.0 — Electrical Safety</w:t>
              </w:r>
            </w:hyperlink>
          </w:p>
        </w:tc>
        <w:tc>
          <w:tcPr/>
          <w:p>
            <w:pPr>
              <w:pStyle w:val="Compact"/>
            </w:pPr>
            <w:r>
              <w:t xml:space="preserve">Wet-location protection, construction RCD protection and 110 V temporary supply.</w:t>
            </w:r>
          </w:p>
        </w:tc>
        <w:tc>
          <w:tcPr/>
          <w:p>
            <w:pPr>
              <w:pStyle w:val="Compact"/>
            </w:pPr>
            <w:r>
              <w:t xml:space="preserve">Verified official</w:t>
            </w:r>
          </w:p>
        </w:tc>
      </w:tr>
      <w:tr>
        <w:tc>
          <w:tcPr/>
          <w:p>
            <w:pPr>
              <w:pStyle w:val="Compact"/>
            </w:pPr>
            <w:r>
              <w:rPr>
                <w:b/>
                <w:bCs/>
              </w:rPr>
              <w:t xml:space="preserve">AD5</w:t>
            </w:r>
          </w:p>
        </w:tc>
        <w:tc>
          <w:tcPr/>
          <w:p>
            <w:pPr>
              <w:pStyle w:val="Compact"/>
            </w:pPr>
            <w:hyperlink r:id="rId50">
              <w:r>
                <w:rPr>
                  <w:rStyle w:val="Hyperlink"/>
                </w:rPr>
                <w:t xml:space="preserve">ADOSH-SF CoP 26.0 — Scaffolding</w:t>
              </w:r>
            </w:hyperlink>
          </w:p>
        </w:tc>
        <w:tc>
          <w:tcPr/>
          <w:p>
            <w:pPr>
              <w:pStyle w:val="Compact"/>
            </w:pPr>
            <w:r>
              <w:t xml:space="preserve">Weather-related scaffold restrictions and post-storm inspection records.</w:t>
            </w:r>
          </w:p>
        </w:tc>
        <w:tc>
          <w:tcPr/>
          <w:p>
            <w:pPr>
              <w:pStyle w:val="Compact"/>
            </w:pPr>
            <w:r>
              <w:t xml:space="preserve">Verified official</w:t>
            </w:r>
          </w:p>
        </w:tc>
      </w:tr>
      <w:tr>
        <w:tc>
          <w:tcPr/>
          <w:p>
            <w:pPr>
              <w:pStyle w:val="Compact"/>
            </w:pPr>
            <w:r>
              <w:rPr>
                <w:b/>
                <w:bCs/>
              </w:rPr>
              <w:t xml:space="preserve">AD6</w:t>
            </w:r>
          </w:p>
        </w:tc>
        <w:tc>
          <w:tcPr/>
          <w:p>
            <w:pPr>
              <w:pStyle w:val="Compact"/>
            </w:pPr>
            <w:hyperlink r:id="rId51">
              <w:r>
                <w:rPr>
                  <w:rStyle w:val="Hyperlink"/>
                </w:rPr>
                <w:t xml:space="preserve">ADOSH-SF CoP 34.0 — Safe Use of Lifting Equipment and Accessories</w:t>
              </w:r>
            </w:hyperlink>
          </w:p>
        </w:tc>
        <w:tc>
          <w:tcPr/>
          <w:p>
            <w:pPr>
              <w:pStyle w:val="Compact"/>
            </w:pPr>
            <w:r>
              <w:t xml:space="preserve">Anemometers, meteorological reports, manufacturer limits and 38 km/h / 20.5 kn cessation rule.</w:t>
            </w:r>
          </w:p>
        </w:tc>
        <w:tc>
          <w:tcPr/>
          <w:p>
            <w:pPr>
              <w:pStyle w:val="Compact"/>
            </w:pPr>
            <w:r>
              <w:t xml:space="preserve">Verified official</w:t>
            </w:r>
          </w:p>
        </w:tc>
      </w:tr>
      <w:tr>
        <w:tc>
          <w:tcPr/>
          <w:p>
            <w:pPr>
              <w:pStyle w:val="Compact"/>
            </w:pPr>
            <w:r>
              <w:rPr>
                <w:b/>
                <w:bCs/>
              </w:rPr>
              <w:t xml:space="preserve">AD7</w:t>
            </w:r>
          </w:p>
        </w:tc>
        <w:tc>
          <w:tcPr/>
          <w:p>
            <w:pPr>
              <w:pStyle w:val="Compact"/>
            </w:pPr>
            <w:hyperlink r:id="rId52">
              <w:r>
                <w:rPr>
                  <w:rStyle w:val="Hyperlink"/>
                </w:rPr>
                <w:t xml:space="preserve">Environment Agency – Abu Dhabi (EAD) — Mangrove Restoration Guidelines</w:t>
              </w:r>
            </w:hyperlink>
          </w:p>
        </w:tc>
        <w:tc>
          <w:tcPr/>
          <w:p>
            <w:pPr>
              <w:pStyle w:val="Compact"/>
            </w:pPr>
            <w:r>
              <w:t xml:space="preserve">Permit/avoidance controls around mangroves and sensitive receptors.</w:t>
            </w:r>
          </w:p>
        </w:tc>
        <w:tc>
          <w:tcPr/>
          <w:p>
            <w:pPr>
              <w:pStyle w:val="Compact"/>
            </w:pPr>
            <w:r>
              <w:t xml:space="preserve">Verified official</w:t>
            </w:r>
          </w:p>
        </w:tc>
      </w:tr>
    </w:tbl>
    <w:bookmarkEnd w:id="53"/>
    <w:bookmarkStart w:id="63" w:name="dubai"/>
    <w:p>
      <w:pPr>
        <w:pStyle w:val="Heading3"/>
      </w:pPr>
      <w:r>
        <w:t xml:space="preserve">Dubai</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Ref.</w:t>
            </w:r>
          </w:p>
        </w:tc>
        <w:tc>
          <w:tcPr/>
          <w:p>
            <w:pPr>
              <w:pStyle w:val="Compact"/>
            </w:pPr>
            <w:r>
              <w:t xml:space="preserve">Title + URL</w:t>
            </w:r>
          </w:p>
        </w:tc>
        <w:tc>
          <w:tcPr/>
          <w:p>
            <w:pPr>
              <w:pStyle w:val="Compact"/>
            </w:pPr>
            <w:r>
              <w:t xml:space="preserve">What it is used for</w:t>
            </w:r>
          </w:p>
        </w:tc>
        <w:tc>
          <w:tcPr/>
          <w:p>
            <w:pPr>
              <w:pStyle w:val="Compact"/>
            </w:pPr>
            <w:r>
              <w:t xml:space="preserve">Status</w:t>
            </w:r>
          </w:p>
        </w:tc>
      </w:tr>
      <w:tr>
        <w:tc>
          <w:tcPr/>
          <w:p>
            <w:pPr>
              <w:pStyle w:val="Compact"/>
            </w:pPr>
            <w:r>
              <w:rPr>
                <w:b/>
                <w:bCs/>
              </w:rPr>
              <w:t xml:space="preserve">DB1</w:t>
            </w:r>
          </w:p>
        </w:tc>
        <w:tc>
          <w:tcPr/>
          <w:p>
            <w:pPr>
              <w:pStyle w:val="Compact"/>
            </w:pPr>
            <w:hyperlink r:id="rId54">
              <w:r>
                <w:rPr>
                  <w:rStyle w:val="Hyperlink"/>
                </w:rPr>
                <w:t xml:space="preserve">Dubai Municipality — Public Utility Services</w:t>
              </w:r>
            </w:hyperlink>
          </w:p>
        </w:tc>
        <w:tc>
          <w:tcPr/>
          <w:p>
            <w:pPr>
              <w:pStyle w:val="Compact"/>
            </w:pPr>
            <w:r>
              <w:t xml:space="preserve">Dubai drainage, wastewater, rainwater pumping and public-health authority roles.</w:t>
            </w:r>
          </w:p>
        </w:tc>
        <w:tc>
          <w:tcPr/>
          <w:p>
            <w:pPr>
              <w:pStyle w:val="Compact"/>
            </w:pPr>
            <w:r>
              <w:t xml:space="preserve">Verified official</w:t>
            </w:r>
          </w:p>
        </w:tc>
      </w:tr>
      <w:tr>
        <w:tc>
          <w:tcPr/>
          <w:p>
            <w:pPr>
              <w:pStyle w:val="Compact"/>
            </w:pPr>
            <w:r>
              <w:rPr>
                <w:b/>
                <w:bCs/>
              </w:rPr>
              <w:t xml:space="preserve">DB2</w:t>
            </w:r>
          </w:p>
        </w:tc>
        <w:tc>
          <w:tcPr/>
          <w:p>
            <w:pPr>
              <w:pStyle w:val="Compact"/>
            </w:pPr>
            <w:hyperlink r:id="rId55">
              <w:r>
                <w:rPr>
                  <w:rStyle w:val="Hyperlink"/>
                </w:rPr>
                <w:t xml:space="preserve">Dubai Municipality — Environmental Clearance Requirements, Version 17 (24 April 2024)</w:t>
              </w:r>
            </w:hyperlink>
          </w:p>
        </w:tc>
        <w:tc>
          <w:tcPr/>
          <w:p>
            <w:pPr>
              <w:pStyle w:val="Compact"/>
            </w:pPr>
            <w:r>
              <w:t xml:space="preserve">EC/EIA/CECP triggers, records and environmental performance conditions.</w:t>
            </w:r>
          </w:p>
        </w:tc>
        <w:tc>
          <w:tcPr/>
          <w:p>
            <w:pPr>
              <w:pStyle w:val="Compact"/>
            </w:pPr>
            <w:r>
              <w:t xml:space="preserve">Verified official</w:t>
            </w:r>
          </w:p>
        </w:tc>
      </w:tr>
      <w:tr>
        <w:tc>
          <w:tcPr/>
          <w:p>
            <w:pPr>
              <w:pStyle w:val="Compact"/>
            </w:pPr>
            <w:r>
              <w:rPr>
                <w:b/>
                <w:bCs/>
              </w:rPr>
              <w:t xml:space="preserve">DB3</w:t>
            </w:r>
          </w:p>
        </w:tc>
        <w:tc>
          <w:tcPr/>
          <w:p>
            <w:pPr>
              <w:pStyle w:val="Compact"/>
            </w:pPr>
            <w:hyperlink r:id="rId56">
              <w:r>
                <w:rPr>
                  <w:rStyle w:val="Hyperlink"/>
                </w:rPr>
                <w:t xml:space="preserve">Dubai Development Authority — Dewatering NOC</w:t>
              </w:r>
            </w:hyperlink>
          </w:p>
        </w:tc>
        <w:tc>
          <w:tcPr/>
          <w:p>
            <w:pPr>
              <w:pStyle w:val="Compact"/>
            </w:pPr>
            <w:r>
              <w:t xml:space="preserve">DDA-jurisdiction discharge NOC documents, route and validity.</w:t>
            </w:r>
          </w:p>
        </w:tc>
        <w:tc>
          <w:tcPr/>
          <w:p>
            <w:pPr>
              <w:pStyle w:val="Compact"/>
            </w:pPr>
            <w:r>
              <w:t xml:space="preserve">Verified official</w:t>
            </w:r>
          </w:p>
        </w:tc>
      </w:tr>
      <w:tr>
        <w:tc>
          <w:tcPr/>
          <w:p>
            <w:pPr>
              <w:pStyle w:val="Compact"/>
            </w:pPr>
            <w:r>
              <w:rPr>
                <w:b/>
                <w:bCs/>
              </w:rPr>
              <w:t xml:space="preserve">DB4</w:t>
            </w:r>
          </w:p>
        </w:tc>
        <w:tc>
          <w:tcPr/>
          <w:p>
            <w:pPr>
              <w:pStyle w:val="Compact"/>
            </w:pPr>
            <w:hyperlink r:id="rId57">
              <w:r>
                <w:rPr>
                  <w:rStyle w:val="Hyperlink"/>
                </w:rPr>
                <w:t xml:space="preserve">PCFC/Trakhees — Rules and Regulations</w:t>
              </w:r>
            </w:hyperlink>
          </w:p>
        </w:tc>
        <w:tc>
          <w:tcPr/>
          <w:p>
            <w:pPr>
              <w:pStyle w:val="Compact"/>
            </w:pPr>
            <w:r>
              <w:t xml:space="preserve">Free-zone jurisdiction check for permits, construction safety and environment.</w:t>
            </w:r>
          </w:p>
        </w:tc>
        <w:tc>
          <w:tcPr/>
          <w:p>
            <w:pPr>
              <w:pStyle w:val="Compact"/>
            </w:pPr>
            <w:r>
              <w:t xml:space="preserve">Verified official</w:t>
            </w:r>
          </w:p>
        </w:tc>
      </w:tr>
      <w:tr>
        <w:tc>
          <w:tcPr/>
          <w:p>
            <w:pPr>
              <w:pStyle w:val="Compact"/>
            </w:pPr>
            <w:r>
              <w:rPr>
                <w:b/>
                <w:bCs/>
              </w:rPr>
              <w:t xml:space="preserve">DB5</w:t>
            </w:r>
          </w:p>
        </w:tc>
        <w:tc>
          <w:tcPr/>
          <w:p>
            <w:pPr>
              <w:pStyle w:val="Compact"/>
            </w:pPr>
            <w:hyperlink r:id="rId58">
              <w:r>
                <w:rPr>
                  <w:rStyle w:val="Hyperlink"/>
                </w:rPr>
                <w:t xml:space="preserve">DEWA — Stay Safe &amp; Powered: Rainy Season</w:t>
              </w:r>
            </w:hyperlink>
          </w:p>
        </w:tc>
        <w:tc>
          <w:tcPr/>
          <w:p>
            <w:pPr>
              <w:pStyle w:val="Compact"/>
            </w:pPr>
            <w:r>
              <w:t xml:space="preserve">Water-entry prevention, earthing and post-rain electrical precautions.</w:t>
            </w:r>
          </w:p>
        </w:tc>
        <w:tc>
          <w:tcPr/>
          <w:p>
            <w:pPr>
              <w:pStyle w:val="Compact"/>
            </w:pPr>
            <w:r>
              <w:t xml:space="preserve">Verified official</w:t>
            </w:r>
          </w:p>
        </w:tc>
      </w:tr>
      <w:tr>
        <w:tc>
          <w:tcPr/>
          <w:p>
            <w:pPr>
              <w:pStyle w:val="Compact"/>
            </w:pPr>
            <w:r>
              <w:rPr>
                <w:b/>
                <w:bCs/>
              </w:rPr>
              <w:t xml:space="preserve">DB6</w:t>
            </w:r>
          </w:p>
        </w:tc>
        <w:tc>
          <w:tcPr/>
          <w:p>
            <w:pPr>
              <w:pStyle w:val="Compact"/>
            </w:pPr>
            <w:hyperlink r:id="rId59">
              <w:r>
                <w:rPr>
                  <w:rStyle w:val="Hyperlink"/>
                </w:rPr>
                <w:t xml:space="preserve">DEWA — Circulars and Regulations</w:t>
              </w:r>
            </w:hyperlink>
          </w:p>
        </w:tc>
        <w:tc>
          <w:tcPr/>
          <w:p>
            <w:pPr>
              <w:pStyle w:val="Compact"/>
            </w:pPr>
            <w:r>
              <w:t xml:space="preserve">Temporary construction power/service-cable and 2024 water-ingress requirements.</w:t>
            </w:r>
          </w:p>
        </w:tc>
        <w:tc>
          <w:tcPr/>
          <w:p>
            <w:pPr>
              <w:pStyle w:val="Compact"/>
            </w:pPr>
            <w:r>
              <w:t xml:space="preserve">Verified official</w:t>
            </w:r>
          </w:p>
        </w:tc>
      </w:tr>
      <w:tr>
        <w:tc>
          <w:tcPr/>
          <w:p>
            <w:pPr>
              <w:pStyle w:val="Compact"/>
            </w:pPr>
            <w:r>
              <w:rPr>
                <w:b/>
                <w:bCs/>
              </w:rPr>
              <w:t xml:space="preserve">DB7</w:t>
            </w:r>
          </w:p>
        </w:tc>
        <w:tc>
          <w:tcPr/>
          <w:p>
            <w:pPr>
              <w:pStyle w:val="Compact"/>
            </w:pPr>
            <w:hyperlink r:id="rId60">
              <w:r>
                <w:rPr>
                  <w:rStyle w:val="Hyperlink"/>
                </w:rPr>
                <w:t xml:space="preserve">Dubai Civil Defence — UAE Fire and Life Safety Code of Practice</w:t>
              </w:r>
            </w:hyperlink>
          </w:p>
        </w:tc>
        <w:tc>
          <w:tcPr/>
          <w:p>
            <w:pPr>
              <w:pStyle w:val="Compact"/>
            </w:pPr>
            <w:r>
              <w:t xml:space="preserve">Fire/life-safety construction, access, egress and emergency-system reference.</w:t>
            </w:r>
          </w:p>
        </w:tc>
        <w:tc>
          <w:tcPr/>
          <w:p>
            <w:pPr>
              <w:pStyle w:val="Compact"/>
            </w:pPr>
            <w:r>
              <w:t xml:space="preserve">Verified official</w:t>
            </w:r>
          </w:p>
        </w:tc>
      </w:tr>
      <w:tr>
        <w:tc>
          <w:tcPr/>
          <w:p>
            <w:pPr>
              <w:pStyle w:val="Compact"/>
            </w:pPr>
            <w:r>
              <w:rPr>
                <w:b/>
                <w:bCs/>
              </w:rPr>
              <w:t xml:space="preserve">DB8</w:t>
            </w:r>
          </w:p>
        </w:tc>
        <w:tc>
          <w:tcPr/>
          <w:p>
            <w:pPr>
              <w:pStyle w:val="Compact"/>
            </w:pPr>
            <w:hyperlink r:id="rId61">
              <w:r>
                <w:rPr>
                  <w:rStyle w:val="Hyperlink"/>
                </w:rPr>
                <w:t xml:space="preserve">Dubai Building Code 2021</w:t>
              </w:r>
            </w:hyperlink>
          </w:p>
        </w:tc>
        <w:tc>
          <w:tcPr/>
          <w:p>
            <w:pPr>
              <w:pStyle w:val="Compact"/>
            </w:pPr>
            <w:r>
              <w:t xml:space="preserve">Gate, level, ramp and drained-access flood-resilience requirements.</w:t>
            </w:r>
          </w:p>
        </w:tc>
        <w:tc>
          <w:tcPr/>
          <w:p>
            <w:pPr>
              <w:pStyle w:val="Compact"/>
            </w:pPr>
            <w:r>
              <w:t xml:space="preserve">Verified official</w:t>
            </w:r>
          </w:p>
        </w:tc>
      </w:tr>
      <w:tr>
        <w:tc>
          <w:tcPr/>
          <w:p>
            <w:pPr>
              <w:pStyle w:val="Compact"/>
            </w:pPr>
            <w:r>
              <w:rPr>
                <w:b/>
                <w:bCs/>
              </w:rPr>
              <w:t xml:space="preserve">DB9</w:t>
            </w:r>
          </w:p>
        </w:tc>
        <w:tc>
          <w:tcPr/>
          <w:p>
            <w:pPr>
              <w:pStyle w:val="Compact"/>
            </w:pPr>
            <w:hyperlink r:id="rId62">
              <w:r>
                <w:rPr>
                  <w:rStyle w:val="Hyperlink"/>
                </w:rPr>
                <w:t xml:space="preserve">Dubai Municipality — Technical Guidelines List</w:t>
              </w:r>
            </w:hyperlink>
          </w:p>
        </w:tc>
        <w:tc>
          <w:tcPr/>
          <w:p>
            <w:pPr>
              <w:pStyle w:val="Compact"/>
            </w:pPr>
            <w:r>
              <w:t xml:space="preserve">Current controlled safety, risk, lifting, accommodation and water-system guidance index.</w:t>
            </w:r>
          </w:p>
        </w:tc>
        <w:tc>
          <w:tcPr/>
          <w:p>
            <w:pPr>
              <w:pStyle w:val="Compact"/>
            </w:pPr>
            <w:r>
              <w:t xml:space="preserve">Verified official</w:t>
            </w:r>
          </w:p>
        </w:tc>
      </w:tr>
    </w:tbl>
    <w:bookmarkEnd w:id="63"/>
    <w:bookmarkStart w:id="73" w:name="sharjah"/>
    <w:p>
      <w:pPr>
        <w:pStyle w:val="Heading3"/>
      </w:pPr>
      <w:r>
        <w:t xml:space="preserve">Sharjah</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Ref.</w:t>
            </w:r>
          </w:p>
        </w:tc>
        <w:tc>
          <w:tcPr/>
          <w:p>
            <w:pPr>
              <w:pStyle w:val="Compact"/>
            </w:pPr>
            <w:r>
              <w:t xml:space="preserve">Title + URL</w:t>
            </w:r>
          </w:p>
        </w:tc>
        <w:tc>
          <w:tcPr/>
          <w:p>
            <w:pPr>
              <w:pStyle w:val="Compact"/>
            </w:pPr>
            <w:r>
              <w:t xml:space="preserve">What it is used for</w:t>
            </w:r>
          </w:p>
        </w:tc>
        <w:tc>
          <w:tcPr/>
          <w:p>
            <w:pPr>
              <w:pStyle w:val="Compact"/>
            </w:pPr>
            <w:r>
              <w:t xml:space="preserve">Status</w:t>
            </w:r>
          </w:p>
        </w:tc>
      </w:tr>
      <w:tr>
        <w:tc>
          <w:tcPr/>
          <w:p>
            <w:pPr>
              <w:pStyle w:val="Compact"/>
            </w:pPr>
            <w:r>
              <w:rPr>
                <w:b/>
                <w:bCs/>
              </w:rPr>
              <w:t xml:space="preserve">SH1</w:t>
            </w:r>
          </w:p>
        </w:tc>
        <w:tc>
          <w:tcPr/>
          <w:p>
            <w:pPr>
              <w:pStyle w:val="Compact"/>
            </w:pPr>
            <w:hyperlink r:id="rId64">
              <w:r>
                <w:rPr>
                  <w:rStyle w:val="Hyperlink"/>
                </w:rPr>
                <w:t xml:space="preserve">Sharjah City Municipality — Drainage e-service</w:t>
              </w:r>
            </w:hyperlink>
          </w:p>
        </w:tc>
        <w:tc>
          <w:tcPr/>
          <w:p>
            <w:pPr>
              <w:pStyle w:val="Compact"/>
            </w:pPr>
            <w:r>
              <w:t xml:space="preserve">Official drainage-service route; obtain project-specific technical conditions directly.</w:t>
            </w:r>
          </w:p>
        </w:tc>
        <w:tc>
          <w:tcPr/>
          <w:p>
            <w:pPr>
              <w:pStyle w:val="Compact"/>
            </w:pPr>
            <w:r>
              <w:t xml:space="preserve">Verified official route; technical criteria not public</w:t>
            </w:r>
          </w:p>
        </w:tc>
      </w:tr>
      <w:tr>
        <w:tc>
          <w:tcPr/>
          <w:p>
            <w:pPr>
              <w:pStyle w:val="Compact"/>
            </w:pPr>
            <w:r>
              <w:rPr>
                <w:b/>
                <w:bCs/>
              </w:rPr>
              <w:t xml:space="preserve">SH2</w:t>
            </w:r>
          </w:p>
        </w:tc>
        <w:tc>
          <w:tcPr/>
          <w:p>
            <w:pPr>
              <w:pStyle w:val="Compact"/>
            </w:pPr>
            <w:hyperlink r:id="rId65">
              <w:r>
                <w:rPr>
                  <w:rStyle w:val="Hyperlink"/>
                </w:rPr>
                <w:t xml:space="preserve">Sharjah emergency numbers</w:t>
              </w:r>
            </w:hyperlink>
          </w:p>
        </w:tc>
        <w:tc>
          <w:tcPr/>
          <w:p>
            <w:pPr>
              <w:pStyle w:val="Compact"/>
            </w:pPr>
            <w:r>
              <w:t xml:space="preserve">Municipal 993, SEWA 991 and emergency routing.</w:t>
            </w:r>
          </w:p>
        </w:tc>
        <w:tc>
          <w:tcPr/>
          <w:p>
            <w:pPr>
              <w:pStyle w:val="Compact"/>
            </w:pPr>
            <w:r>
              <w:t xml:space="preserve">Verified official</w:t>
            </w:r>
          </w:p>
        </w:tc>
      </w:tr>
      <w:tr>
        <w:tc>
          <w:tcPr/>
          <w:p>
            <w:pPr>
              <w:pStyle w:val="Compact"/>
            </w:pPr>
            <w:r>
              <w:rPr>
                <w:b/>
                <w:bCs/>
              </w:rPr>
              <w:t xml:space="preserve">SH3</w:t>
            </w:r>
          </w:p>
        </w:tc>
        <w:tc>
          <w:tcPr/>
          <w:p>
            <w:pPr>
              <w:pStyle w:val="Compact"/>
            </w:pPr>
            <w:hyperlink r:id="rId66">
              <w:r>
                <w:rPr>
                  <w:rStyle w:val="Hyperlink"/>
                </w:rPr>
                <w:t xml:space="preserve">Sharjah Civil Defence Authority — About us</w:t>
              </w:r>
            </w:hyperlink>
          </w:p>
        </w:tc>
        <w:tc>
          <w:tcPr/>
          <w:p>
            <w:pPr>
              <w:pStyle w:val="Compact"/>
            </w:pPr>
            <w:r>
              <w:t xml:space="preserve">Fire prevention, inspection, enforcement, rescue and response role.</w:t>
            </w:r>
          </w:p>
        </w:tc>
        <w:tc>
          <w:tcPr/>
          <w:p>
            <w:pPr>
              <w:pStyle w:val="Compact"/>
            </w:pPr>
            <w:r>
              <w:t xml:space="preserve">Verified official</w:t>
            </w:r>
          </w:p>
        </w:tc>
      </w:tr>
      <w:tr>
        <w:tc>
          <w:tcPr/>
          <w:p>
            <w:pPr>
              <w:pStyle w:val="Compact"/>
            </w:pPr>
            <w:r>
              <w:rPr>
                <w:b/>
                <w:bCs/>
              </w:rPr>
              <w:t xml:space="preserve">SH4</w:t>
            </w:r>
          </w:p>
        </w:tc>
        <w:tc>
          <w:tcPr/>
          <w:p>
            <w:pPr>
              <w:pStyle w:val="Compact"/>
            </w:pPr>
            <w:hyperlink r:id="rId67">
              <w:r>
                <w:rPr>
                  <w:rStyle w:val="Hyperlink"/>
                </w:rPr>
                <w:t xml:space="preserve">SEWA official portal</w:t>
              </w:r>
            </w:hyperlink>
          </w:p>
        </w:tc>
        <w:tc>
          <w:tcPr/>
          <w:p>
            <w:pPr>
              <w:pStyle w:val="Compact"/>
            </w:pPr>
            <w:r>
              <w:t xml:space="preserve">Electricity, potable water, connections and utility role.</w:t>
            </w:r>
          </w:p>
        </w:tc>
        <w:tc>
          <w:tcPr/>
          <w:p>
            <w:pPr>
              <w:pStyle w:val="Compact"/>
            </w:pPr>
            <w:r>
              <w:t xml:space="preserve">Verified official</w:t>
            </w:r>
          </w:p>
        </w:tc>
      </w:tr>
      <w:tr>
        <w:tc>
          <w:tcPr/>
          <w:p>
            <w:pPr>
              <w:pStyle w:val="Compact"/>
            </w:pPr>
            <w:r>
              <w:rPr>
                <w:b/>
                <w:bCs/>
              </w:rPr>
              <w:t xml:space="preserve">SH5</w:t>
            </w:r>
          </w:p>
        </w:tc>
        <w:tc>
          <w:tcPr/>
          <w:p>
            <w:pPr>
              <w:pStyle w:val="Compact"/>
            </w:pPr>
            <w:hyperlink r:id="rId68">
              <w:r>
                <w:rPr>
                  <w:rStyle w:val="Hyperlink"/>
                </w:rPr>
                <w:t xml:space="preserve">HFZA Engineering, EHS Investors Information Kit</w:t>
              </w:r>
            </w:hyperlink>
          </w:p>
        </w:tc>
        <w:tc>
          <w:tcPr/>
          <w:p>
            <w:pPr>
              <w:pStyle w:val="Compact"/>
            </w:pPr>
            <w:r>
              <w:t xml:space="preserve">Hamriyah permits, SEWA NOCs, PTW, scaffold/excavation and EHS controls.</w:t>
            </w:r>
          </w:p>
        </w:tc>
        <w:tc>
          <w:tcPr/>
          <w:p>
            <w:pPr>
              <w:pStyle w:val="Compact"/>
            </w:pPr>
            <w:r>
              <w:t xml:space="preserve">Verified official</w:t>
            </w:r>
          </w:p>
        </w:tc>
      </w:tr>
      <w:tr>
        <w:tc>
          <w:tcPr/>
          <w:p>
            <w:pPr>
              <w:pStyle w:val="Compact"/>
            </w:pPr>
            <w:r>
              <w:rPr>
                <w:b/>
                <w:bCs/>
              </w:rPr>
              <w:t xml:space="preserve">SH6</w:t>
            </w:r>
          </w:p>
        </w:tc>
        <w:tc>
          <w:tcPr/>
          <w:p>
            <w:pPr>
              <w:pStyle w:val="Compact"/>
            </w:pPr>
            <w:hyperlink r:id="rId69">
              <w:r>
                <w:rPr>
                  <w:rStyle w:val="Hyperlink"/>
                </w:rPr>
                <w:t xml:space="preserve">EPAA Sharjah official portal</w:t>
              </w:r>
            </w:hyperlink>
          </w:p>
        </w:tc>
        <w:tc>
          <w:tcPr/>
          <w:p>
            <w:pPr>
              <w:pStyle w:val="Compact"/>
            </w:pPr>
            <w:r>
              <w:t xml:space="preserve">Protected areas and local environmental-regulator route.</w:t>
            </w:r>
          </w:p>
        </w:tc>
        <w:tc>
          <w:tcPr/>
          <w:p>
            <w:pPr>
              <w:pStyle w:val="Compact"/>
            </w:pPr>
            <w:r>
              <w:t xml:space="preserve">Verified official</w:t>
            </w:r>
          </w:p>
        </w:tc>
      </w:tr>
      <w:tr>
        <w:tc>
          <w:tcPr/>
          <w:p>
            <w:pPr>
              <w:pStyle w:val="Compact"/>
            </w:pPr>
            <w:r>
              <w:rPr>
                <w:b/>
                <w:bCs/>
              </w:rPr>
              <w:t xml:space="preserve">SH7</w:t>
            </w:r>
          </w:p>
        </w:tc>
        <w:tc>
          <w:tcPr/>
          <w:p>
            <w:pPr>
              <w:pStyle w:val="Compact"/>
            </w:pPr>
            <w:hyperlink r:id="rId70">
              <w:r>
                <w:rPr>
                  <w:rStyle w:val="Hyperlink"/>
                </w:rPr>
                <w:t xml:space="preserve">Sharjah Government — Environmental permit service</w:t>
              </w:r>
            </w:hyperlink>
          </w:p>
        </w:tc>
        <w:tc>
          <w:tcPr/>
          <w:p>
            <w:pPr>
              <w:pStyle w:val="Compact"/>
            </w:pPr>
            <w:r>
              <w:t xml:space="preserve">Environmental activity-risk classification and permitting route.</w:t>
            </w:r>
          </w:p>
        </w:tc>
        <w:tc>
          <w:tcPr/>
          <w:p>
            <w:pPr>
              <w:pStyle w:val="Compact"/>
            </w:pPr>
            <w:r>
              <w:t xml:space="preserve">Verified official</w:t>
            </w:r>
          </w:p>
        </w:tc>
      </w:tr>
      <w:tr>
        <w:tc>
          <w:tcPr/>
          <w:p>
            <w:pPr>
              <w:pStyle w:val="Compact"/>
            </w:pPr>
            <w:r>
              <w:rPr>
                <w:b/>
                <w:bCs/>
              </w:rPr>
              <w:t xml:space="preserve">SH8</w:t>
            </w:r>
          </w:p>
        </w:tc>
        <w:tc>
          <w:tcPr/>
          <w:p>
            <w:pPr>
              <w:pStyle w:val="Compact"/>
            </w:pPr>
            <w:hyperlink r:id="rId71">
              <w:r>
                <w:rPr>
                  <w:rStyle w:val="Hyperlink"/>
                </w:rPr>
                <w:t xml:space="preserve">BEEAH — Waste Recycling and Processing</w:t>
              </w:r>
            </w:hyperlink>
          </w:p>
        </w:tc>
        <w:tc>
          <w:tcPr/>
          <w:p>
            <w:pPr>
              <w:pStyle w:val="Compact"/>
            </w:pPr>
            <w:r>
              <w:t xml:space="preserve">C&amp;D, industrial wastewater and licensed waste-route context.</w:t>
            </w:r>
          </w:p>
        </w:tc>
        <w:tc>
          <w:tcPr/>
          <w:p>
            <w:pPr>
              <w:pStyle w:val="Compact"/>
            </w:pPr>
            <w:r>
              <w:t xml:space="preserve">Verified official</w:t>
            </w:r>
          </w:p>
        </w:tc>
      </w:tr>
      <w:tr>
        <w:tc>
          <w:tcPr/>
          <w:p>
            <w:pPr>
              <w:pStyle w:val="Compact"/>
            </w:pPr>
            <w:r>
              <w:rPr>
                <w:b/>
                <w:bCs/>
              </w:rPr>
              <w:t xml:space="preserve">SH9</w:t>
            </w:r>
          </w:p>
        </w:tc>
        <w:tc>
          <w:tcPr/>
          <w:p>
            <w:pPr>
              <w:pStyle w:val="Compact"/>
            </w:pPr>
            <w:hyperlink r:id="rId72">
              <w:r>
                <w:rPr>
                  <w:rStyle w:val="Hyperlink"/>
                </w:rPr>
                <w:t xml:space="preserve">WAM — Sharjah Urban Planning Council dissolution</w:t>
              </w:r>
            </w:hyperlink>
          </w:p>
        </w:tc>
        <w:tc>
          <w:tcPr/>
          <w:p>
            <w:pPr>
              <w:pStyle w:val="Compact"/>
            </w:pPr>
            <w:r>
              <w:t xml:space="preserve">Confirms former UPC is not a current generic approval route.</w:t>
            </w:r>
          </w:p>
        </w:tc>
        <w:tc>
          <w:tcPr/>
          <w:p>
            <w:pPr>
              <w:pStyle w:val="Compact"/>
            </w:pPr>
            <w:r>
              <w:t xml:space="preserve">Verified official news</w:t>
            </w:r>
          </w:p>
        </w:tc>
      </w:tr>
    </w:tbl>
    <w:bookmarkEnd w:id="73"/>
    <w:bookmarkStart w:id="79" w:name="ajman"/>
    <w:p>
      <w:pPr>
        <w:pStyle w:val="Heading3"/>
      </w:pPr>
      <w:r>
        <w:t xml:space="preserve">Ajman</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Ref.</w:t>
            </w:r>
          </w:p>
        </w:tc>
        <w:tc>
          <w:tcPr/>
          <w:p>
            <w:pPr>
              <w:pStyle w:val="Compact"/>
            </w:pPr>
            <w:r>
              <w:t xml:space="preserve">Title + URL</w:t>
            </w:r>
          </w:p>
        </w:tc>
        <w:tc>
          <w:tcPr/>
          <w:p>
            <w:pPr>
              <w:pStyle w:val="Compact"/>
            </w:pPr>
            <w:r>
              <w:t xml:space="preserve">What it is used for</w:t>
            </w:r>
          </w:p>
        </w:tc>
        <w:tc>
          <w:tcPr/>
          <w:p>
            <w:pPr>
              <w:pStyle w:val="Compact"/>
            </w:pPr>
            <w:r>
              <w:t xml:space="preserve">Status</w:t>
            </w:r>
          </w:p>
        </w:tc>
      </w:tr>
      <w:tr>
        <w:tc>
          <w:tcPr/>
          <w:p>
            <w:pPr>
              <w:pStyle w:val="Compact"/>
            </w:pPr>
            <w:r>
              <w:rPr>
                <w:b/>
                <w:bCs/>
              </w:rPr>
              <w:t xml:space="preserve">AJ1</w:t>
            </w:r>
          </w:p>
        </w:tc>
        <w:tc>
          <w:tcPr/>
          <w:p>
            <w:pPr>
              <w:pStyle w:val="Compact"/>
            </w:pPr>
            <w:hyperlink r:id="rId74">
              <w:r>
                <w:rPr>
                  <w:rStyle w:val="Hyperlink"/>
                </w:rPr>
                <w:t xml:space="preserve">Ajman Municipality and Planning Department — Building Permit Request</w:t>
              </w:r>
            </w:hyperlink>
          </w:p>
        </w:tc>
        <w:tc>
          <w:tcPr/>
          <w:p>
            <w:pPr>
              <w:pStyle w:val="Compact"/>
            </w:pPr>
            <w:r>
              <w:t xml:space="preserve">Building drawings and applicable utility/sewer/Civil Defence approvals.</w:t>
            </w:r>
          </w:p>
        </w:tc>
        <w:tc>
          <w:tcPr/>
          <w:p>
            <w:pPr>
              <w:pStyle w:val="Compact"/>
            </w:pPr>
            <w:r>
              <w:t xml:space="preserve">Verified official</w:t>
            </w:r>
          </w:p>
        </w:tc>
      </w:tr>
      <w:tr>
        <w:tc>
          <w:tcPr/>
          <w:p>
            <w:pPr>
              <w:pStyle w:val="Compact"/>
            </w:pPr>
            <w:r>
              <w:rPr>
                <w:b/>
                <w:bCs/>
              </w:rPr>
              <w:t xml:space="preserve">AJ2</w:t>
            </w:r>
          </w:p>
        </w:tc>
        <w:tc>
          <w:tcPr/>
          <w:p>
            <w:pPr>
              <w:pStyle w:val="Compact"/>
            </w:pPr>
            <w:hyperlink r:id="rId75">
              <w:r>
                <w:rPr>
                  <w:rStyle w:val="Hyperlink"/>
                </w:rPr>
                <w:t xml:space="preserve">Ajman Municipality — Emergency numbers</w:t>
              </w:r>
            </w:hyperlink>
          </w:p>
        </w:tc>
        <w:tc>
          <w:tcPr/>
          <w:p>
            <w:pPr>
              <w:pStyle w:val="Compact"/>
            </w:pPr>
            <w:r>
              <w:t xml:space="preserve">997, 998, 999, 922, 991 and 996 emergency routing.</w:t>
            </w:r>
          </w:p>
        </w:tc>
        <w:tc>
          <w:tcPr/>
          <w:p>
            <w:pPr>
              <w:pStyle w:val="Compact"/>
            </w:pPr>
            <w:r>
              <w:t xml:space="preserve">Verified official</w:t>
            </w:r>
          </w:p>
        </w:tc>
      </w:tr>
      <w:tr>
        <w:tc>
          <w:tcPr/>
          <w:p>
            <w:pPr>
              <w:pStyle w:val="Compact"/>
            </w:pPr>
            <w:r>
              <w:rPr>
                <w:b/>
                <w:bCs/>
              </w:rPr>
              <w:t xml:space="preserve">AJ3</w:t>
            </w:r>
          </w:p>
        </w:tc>
        <w:tc>
          <w:tcPr/>
          <w:p>
            <w:pPr>
              <w:pStyle w:val="Compact"/>
            </w:pPr>
            <w:hyperlink r:id="rId76">
              <w:r>
                <w:rPr>
                  <w:rStyle w:val="Hyperlink"/>
                </w:rPr>
                <w:t xml:space="preserve">EtihadWE — Electricity/Water Emergency Service</w:t>
              </w:r>
            </w:hyperlink>
          </w:p>
        </w:tc>
        <w:tc>
          <w:tcPr/>
          <w:p>
            <w:pPr>
              <w:pStyle w:val="Compact"/>
            </w:pPr>
            <w:r>
              <w:t xml:space="preserve">Northern-emirate utility fault reporting and emergency numbers 991/992.</w:t>
            </w:r>
          </w:p>
        </w:tc>
        <w:tc>
          <w:tcPr/>
          <w:p>
            <w:pPr>
              <w:pStyle w:val="Compact"/>
            </w:pPr>
            <w:r>
              <w:t xml:space="preserve">Verified official</w:t>
            </w:r>
          </w:p>
        </w:tc>
      </w:tr>
      <w:tr>
        <w:tc>
          <w:tcPr/>
          <w:p>
            <w:pPr>
              <w:pStyle w:val="Compact"/>
            </w:pPr>
            <w:r>
              <w:rPr>
                <w:b/>
                <w:bCs/>
              </w:rPr>
              <w:t xml:space="preserve">AJ4</w:t>
            </w:r>
          </w:p>
        </w:tc>
        <w:tc>
          <w:tcPr/>
          <w:p>
            <w:pPr>
              <w:pStyle w:val="Compact"/>
            </w:pPr>
            <w:hyperlink r:id="rId77">
              <w:r>
                <w:rPr>
                  <w:rStyle w:val="Hyperlink"/>
                </w:rPr>
                <w:t xml:space="preserve">Sustainable Ajman — Waste Management Data Story</w:t>
              </w:r>
            </w:hyperlink>
          </w:p>
        </w:tc>
        <w:tc>
          <w:tcPr/>
          <w:p>
            <w:pPr>
              <w:pStyle w:val="Compact"/>
            </w:pPr>
            <w:r>
              <w:t xml:space="preserve">Al Jurf construction/waste context; not drainage-capacity evidence.</w:t>
            </w:r>
          </w:p>
        </w:tc>
        <w:tc>
          <w:tcPr/>
          <w:p>
            <w:pPr>
              <w:pStyle w:val="Compact"/>
            </w:pPr>
            <w:r>
              <w:t xml:space="preserve">Verified official data portal</w:t>
            </w:r>
          </w:p>
        </w:tc>
      </w:tr>
      <w:tr>
        <w:tc>
          <w:tcPr/>
          <w:p>
            <w:pPr>
              <w:pStyle w:val="Compact"/>
            </w:pPr>
            <w:r>
              <w:rPr>
                <w:b/>
                <w:bCs/>
              </w:rPr>
              <w:t xml:space="preserve">AJ5</w:t>
            </w:r>
          </w:p>
        </w:tc>
        <w:tc>
          <w:tcPr/>
          <w:p>
            <w:pPr>
              <w:pStyle w:val="Compact"/>
            </w:pPr>
            <w:hyperlink r:id="rId78">
              <w:r>
                <w:rPr>
                  <w:rStyle w:val="Hyperlink"/>
                </w:rPr>
                <w:t xml:space="preserve">Ajman Government — Environmental Permit Renewal Request</w:t>
              </w:r>
            </w:hyperlink>
          </w:p>
        </w:tc>
        <w:tc>
          <w:tcPr/>
          <w:p>
            <w:pPr>
              <w:pStyle w:val="Compact"/>
            </w:pPr>
            <w:r>
              <w:t xml:space="preserve">Local environmental permit/chemical-material route.</w:t>
            </w:r>
          </w:p>
        </w:tc>
        <w:tc>
          <w:tcPr/>
          <w:p>
            <w:pPr>
              <w:pStyle w:val="Compact"/>
            </w:pPr>
            <w:r>
              <w:t xml:space="preserve">Verified official</w:t>
            </w:r>
          </w:p>
        </w:tc>
      </w:tr>
    </w:tbl>
    <w:bookmarkEnd w:id="79"/>
    <w:bookmarkStart w:id="84" w:name="umm-al-quwain"/>
    <w:p>
      <w:pPr>
        <w:pStyle w:val="Heading3"/>
      </w:pPr>
      <w:r>
        <w:t xml:space="preserve">Umm Al Quwain</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Ref.</w:t>
            </w:r>
          </w:p>
        </w:tc>
        <w:tc>
          <w:tcPr/>
          <w:p>
            <w:pPr>
              <w:pStyle w:val="Compact"/>
            </w:pPr>
            <w:r>
              <w:t xml:space="preserve">Title + URL</w:t>
            </w:r>
          </w:p>
        </w:tc>
        <w:tc>
          <w:tcPr/>
          <w:p>
            <w:pPr>
              <w:pStyle w:val="Compact"/>
            </w:pPr>
            <w:r>
              <w:t xml:space="preserve">What it is used for</w:t>
            </w:r>
          </w:p>
        </w:tc>
        <w:tc>
          <w:tcPr/>
          <w:p>
            <w:pPr>
              <w:pStyle w:val="Compact"/>
            </w:pPr>
            <w:r>
              <w:t xml:space="preserve">Status</w:t>
            </w:r>
          </w:p>
        </w:tc>
      </w:tr>
      <w:tr>
        <w:tc>
          <w:tcPr/>
          <w:p>
            <w:pPr>
              <w:pStyle w:val="Compact"/>
            </w:pPr>
            <w:r>
              <w:rPr>
                <w:b/>
                <w:bCs/>
              </w:rPr>
              <w:t xml:space="preserve">UA1</w:t>
            </w:r>
          </w:p>
        </w:tc>
        <w:tc>
          <w:tcPr/>
          <w:p>
            <w:pPr>
              <w:pStyle w:val="Compact"/>
            </w:pPr>
            <w:hyperlink r:id="rId80">
              <w:r>
                <w:rPr>
                  <w:rStyle w:val="Hyperlink"/>
                </w:rPr>
                <w:t xml:space="preserve">Umm Al Quwain Government services catalogue</w:t>
              </w:r>
            </w:hyperlink>
          </w:p>
        </w:tc>
        <w:tc>
          <w:tcPr/>
          <w:p>
            <w:pPr>
              <w:pStyle w:val="Compact"/>
            </w:pPr>
            <w:r>
              <w:t xml:space="preserve">Municipal, waste-transport and environmental-approval route.</w:t>
            </w:r>
          </w:p>
        </w:tc>
        <w:tc>
          <w:tcPr/>
          <w:p>
            <w:pPr>
              <w:pStyle w:val="Compact"/>
            </w:pPr>
            <w:r>
              <w:t xml:space="preserve">Verified official route; service availability to confirm</w:t>
            </w:r>
          </w:p>
        </w:tc>
      </w:tr>
      <w:tr>
        <w:tc>
          <w:tcPr/>
          <w:p>
            <w:pPr>
              <w:pStyle w:val="Compact"/>
            </w:pPr>
            <w:r>
              <w:rPr>
                <w:b/>
                <w:bCs/>
              </w:rPr>
              <w:t xml:space="preserve">UA2</w:t>
            </w:r>
          </w:p>
        </w:tc>
        <w:tc>
          <w:tcPr/>
          <w:p>
            <w:pPr>
              <w:pStyle w:val="Compact"/>
            </w:pPr>
            <w:hyperlink r:id="rId81">
              <w:r>
                <w:rPr>
                  <w:rStyle w:val="Hyperlink"/>
                </w:rPr>
                <w:t xml:space="preserve">Umm Al Quwain Government contact page</w:t>
              </w:r>
            </w:hyperlink>
          </w:p>
        </w:tc>
        <w:tc>
          <w:tcPr/>
          <w:p>
            <w:pPr>
              <w:pStyle w:val="Compact"/>
            </w:pPr>
            <w:r>
              <w:t xml:space="preserve">Municipal 24/7 contact route.</w:t>
            </w:r>
          </w:p>
        </w:tc>
        <w:tc>
          <w:tcPr/>
          <w:p>
            <w:pPr>
              <w:pStyle w:val="Compact"/>
            </w:pPr>
            <w:r>
              <w:t xml:space="preserve">Verified official</w:t>
            </w:r>
          </w:p>
        </w:tc>
      </w:tr>
      <w:tr>
        <w:tc>
          <w:tcPr/>
          <w:p>
            <w:pPr>
              <w:pStyle w:val="Compact"/>
            </w:pPr>
            <w:r>
              <w:rPr>
                <w:b/>
                <w:bCs/>
              </w:rPr>
              <w:t xml:space="preserve">UA3</w:t>
            </w:r>
          </w:p>
        </w:tc>
        <w:tc>
          <w:tcPr/>
          <w:p>
            <w:pPr>
              <w:pStyle w:val="Compact"/>
            </w:pPr>
            <w:hyperlink r:id="rId82">
              <w:r>
                <w:rPr>
                  <w:rStyle w:val="Hyperlink"/>
                </w:rPr>
                <w:t xml:space="preserve">Etihad Water and Electricity official website</w:t>
              </w:r>
            </w:hyperlink>
          </w:p>
        </w:tc>
        <w:tc>
          <w:tcPr/>
          <w:p>
            <w:pPr>
              <w:pStyle w:val="Compact"/>
            </w:pPr>
            <w:r>
              <w:t xml:space="preserve">UAQ utility centre/contact and northern-emirate service route.</w:t>
            </w:r>
          </w:p>
        </w:tc>
        <w:tc>
          <w:tcPr/>
          <w:p>
            <w:pPr>
              <w:pStyle w:val="Compact"/>
            </w:pPr>
            <w:r>
              <w:t xml:space="preserve">Verified official</w:t>
            </w:r>
          </w:p>
        </w:tc>
      </w:tr>
      <w:tr>
        <w:tc>
          <w:tcPr/>
          <w:p>
            <w:pPr>
              <w:pStyle w:val="Compact"/>
            </w:pPr>
            <w:r>
              <w:rPr>
                <w:b/>
                <w:bCs/>
              </w:rPr>
              <w:t xml:space="preserve">UA4</w:t>
            </w:r>
          </w:p>
        </w:tc>
        <w:tc>
          <w:tcPr/>
          <w:p>
            <w:pPr>
              <w:pStyle w:val="Compact"/>
            </w:pPr>
            <w:hyperlink r:id="rId83">
              <w:r>
                <w:rPr>
                  <w:rStyle w:val="Hyperlink"/>
                </w:rPr>
                <w:t xml:space="preserve">Ministry of Economy and Tourism — Al Sinniyah Island</w:t>
              </w:r>
            </w:hyperlink>
          </w:p>
        </w:tc>
        <w:tc>
          <w:tcPr/>
          <w:p>
            <w:pPr>
              <w:pStyle w:val="Compact"/>
            </w:pPr>
            <w:r>
              <w:t xml:space="preserve">Sensitive mangrove/tidal habitat context.</w:t>
            </w:r>
          </w:p>
        </w:tc>
        <w:tc>
          <w:tcPr/>
          <w:p>
            <w:pPr>
              <w:pStyle w:val="Compact"/>
            </w:pPr>
            <w:r>
              <w:t xml:space="preserve">Verified official</w:t>
            </w:r>
          </w:p>
        </w:tc>
      </w:tr>
    </w:tbl>
    <w:bookmarkEnd w:id="84"/>
    <w:bookmarkStart w:id="92" w:name="ras-al-khaimah"/>
    <w:p>
      <w:pPr>
        <w:pStyle w:val="Heading3"/>
      </w:pPr>
      <w:r>
        <w:t xml:space="preserve">Ras Al Khaimah</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Ref.</w:t>
            </w:r>
          </w:p>
        </w:tc>
        <w:tc>
          <w:tcPr/>
          <w:p>
            <w:pPr>
              <w:pStyle w:val="Compact"/>
            </w:pPr>
            <w:r>
              <w:t xml:space="preserve">Title + URL</w:t>
            </w:r>
          </w:p>
        </w:tc>
        <w:tc>
          <w:tcPr/>
          <w:p>
            <w:pPr>
              <w:pStyle w:val="Compact"/>
            </w:pPr>
            <w:r>
              <w:t xml:space="preserve">What it is used for</w:t>
            </w:r>
          </w:p>
        </w:tc>
        <w:tc>
          <w:tcPr/>
          <w:p>
            <w:pPr>
              <w:pStyle w:val="Compact"/>
            </w:pPr>
            <w:r>
              <w:t xml:space="preserve">Status</w:t>
            </w:r>
          </w:p>
        </w:tc>
      </w:tr>
      <w:tr>
        <w:tc>
          <w:tcPr/>
          <w:p>
            <w:pPr>
              <w:pStyle w:val="Compact"/>
            </w:pPr>
            <w:r>
              <w:rPr>
                <w:b/>
                <w:bCs/>
              </w:rPr>
              <w:t xml:space="preserve">RK1</w:t>
            </w:r>
          </w:p>
        </w:tc>
        <w:tc>
          <w:tcPr/>
          <w:p>
            <w:pPr>
              <w:pStyle w:val="Compact"/>
            </w:pPr>
            <w:hyperlink r:id="rId85">
              <w:r>
                <w:rPr>
                  <w:rStyle w:val="Hyperlink"/>
                </w:rPr>
                <w:t xml:space="preserve">RAK Municipality — Building Conditions and Specifications Regulation</w:t>
              </w:r>
            </w:hyperlink>
          </w:p>
        </w:tc>
        <w:tc>
          <w:tcPr/>
          <w:p>
            <w:pPr>
              <w:pStyle w:val="Compact"/>
            </w:pPr>
            <w:r>
              <w:t xml:space="preserve">Building, electrical, water-supply and drainage requirements; service-authority interface.</w:t>
            </w:r>
          </w:p>
        </w:tc>
        <w:tc>
          <w:tcPr/>
          <w:p>
            <w:pPr>
              <w:pStyle w:val="Compact"/>
            </w:pPr>
            <w:r>
              <w:t xml:space="preserve">Verified official</w:t>
            </w:r>
          </w:p>
        </w:tc>
      </w:tr>
      <w:tr>
        <w:tc>
          <w:tcPr/>
          <w:p>
            <w:pPr>
              <w:pStyle w:val="Compact"/>
            </w:pPr>
            <w:r>
              <w:rPr>
                <w:b/>
                <w:bCs/>
              </w:rPr>
              <w:t xml:space="preserve">RK2</w:t>
            </w:r>
          </w:p>
        </w:tc>
        <w:tc>
          <w:tcPr/>
          <w:p>
            <w:pPr>
              <w:pStyle w:val="Compact"/>
            </w:pPr>
            <w:hyperlink r:id="rId86">
              <w:r>
                <w:rPr>
                  <w:rStyle w:val="Hyperlink"/>
                </w:rPr>
                <w:t xml:space="preserve">RAK Municipality — New Building Permit (ZP02)</w:t>
              </w:r>
            </w:hyperlink>
          </w:p>
        </w:tc>
        <w:tc>
          <w:tcPr/>
          <w:p>
            <w:pPr>
              <w:pStyle w:val="Compact"/>
            </w:pPr>
            <w:r>
              <w:t xml:space="preserve">Waste-management permit, NOCs, soil investigation and structural calculations before site work.</w:t>
            </w:r>
          </w:p>
        </w:tc>
        <w:tc>
          <w:tcPr/>
          <w:p>
            <w:pPr>
              <w:pStyle w:val="Compact"/>
            </w:pPr>
            <w:r>
              <w:t xml:space="preserve">Verified official</w:t>
            </w:r>
          </w:p>
        </w:tc>
      </w:tr>
      <w:tr>
        <w:tc>
          <w:tcPr/>
          <w:p>
            <w:pPr>
              <w:pStyle w:val="Compact"/>
            </w:pPr>
            <w:r>
              <w:rPr>
                <w:b/>
                <w:bCs/>
              </w:rPr>
              <w:t xml:space="preserve">RK3</w:t>
            </w:r>
          </w:p>
        </w:tc>
        <w:tc>
          <w:tcPr/>
          <w:p>
            <w:pPr>
              <w:pStyle w:val="Compact"/>
            </w:pPr>
            <w:hyperlink r:id="rId87">
              <w:r>
                <w:rPr>
                  <w:rStyle w:val="Hyperlink"/>
                </w:rPr>
                <w:t xml:space="preserve">RAK Municipality — Structural Regulations</w:t>
              </w:r>
            </w:hyperlink>
          </w:p>
        </w:tc>
        <w:tc>
          <w:tcPr/>
          <w:p>
            <w:pPr>
              <w:pStyle w:val="Compact"/>
            </w:pPr>
            <w:r>
              <w:t xml:space="preserve">Excavation slopes, shoring, groundwater and dewatering requirements.</w:t>
            </w:r>
          </w:p>
        </w:tc>
        <w:tc>
          <w:tcPr/>
          <w:p>
            <w:pPr>
              <w:pStyle w:val="Compact"/>
            </w:pPr>
            <w:r>
              <w:t xml:space="preserve">Verified official</w:t>
            </w:r>
          </w:p>
        </w:tc>
      </w:tr>
      <w:tr>
        <w:tc>
          <w:tcPr/>
          <w:p>
            <w:pPr>
              <w:pStyle w:val="Compact"/>
            </w:pPr>
            <w:r>
              <w:rPr>
                <w:b/>
                <w:bCs/>
              </w:rPr>
              <w:t xml:space="preserve">RK4</w:t>
            </w:r>
          </w:p>
        </w:tc>
        <w:tc>
          <w:tcPr/>
          <w:p>
            <w:pPr>
              <w:pStyle w:val="Compact"/>
            </w:pPr>
            <w:hyperlink r:id="rId88">
              <w:r>
                <w:rPr>
                  <w:rStyle w:val="Hyperlink"/>
                </w:rPr>
                <w:t xml:space="preserve">RAK Public Services Department and construction-waste/drainage services</w:t>
              </w:r>
            </w:hyperlink>
          </w:p>
        </w:tc>
        <w:tc>
          <w:tcPr/>
          <w:p>
            <w:pPr>
              <w:pStyle w:val="Compact"/>
            </w:pPr>
            <w:r>
              <w:t xml:space="preserve">Waste removal, completion inspection, drainage clearance and PSD interface.</w:t>
            </w:r>
          </w:p>
        </w:tc>
        <w:tc>
          <w:tcPr/>
          <w:p>
            <w:pPr>
              <w:pStyle w:val="Compact"/>
            </w:pPr>
            <w:r>
              <w:t xml:space="preserve">Verified official</w:t>
            </w:r>
          </w:p>
        </w:tc>
      </w:tr>
      <w:tr>
        <w:tc>
          <w:tcPr/>
          <w:p>
            <w:pPr>
              <w:pStyle w:val="Compact"/>
            </w:pPr>
            <w:r>
              <w:rPr>
                <w:b/>
                <w:bCs/>
              </w:rPr>
              <w:t xml:space="preserve">RK5</w:t>
            </w:r>
          </w:p>
        </w:tc>
        <w:tc>
          <w:tcPr/>
          <w:p>
            <w:pPr>
              <w:pStyle w:val="Compact"/>
            </w:pPr>
            <w:hyperlink r:id="rId89">
              <w:r>
                <w:rPr>
                  <w:rStyle w:val="Hyperlink"/>
                </w:rPr>
                <w:t xml:space="preserve">RAK EPDA — Laws and Decrees</w:t>
              </w:r>
            </w:hyperlink>
          </w:p>
        </w:tc>
        <w:tc>
          <w:tcPr/>
          <w:p>
            <w:pPr>
              <w:pStyle w:val="Compact"/>
            </w:pPr>
            <w:r>
              <w:t xml:space="preserve">EPDA environmental legal/approval route.</w:t>
            </w:r>
          </w:p>
        </w:tc>
        <w:tc>
          <w:tcPr/>
          <w:p>
            <w:pPr>
              <w:pStyle w:val="Compact"/>
            </w:pPr>
            <w:r>
              <w:t xml:space="preserve">Verified official</w:t>
            </w:r>
          </w:p>
        </w:tc>
      </w:tr>
      <w:tr>
        <w:tc>
          <w:tcPr/>
          <w:p>
            <w:pPr>
              <w:pStyle w:val="Compact"/>
            </w:pPr>
            <w:r>
              <w:rPr>
                <w:b/>
                <w:bCs/>
              </w:rPr>
              <w:t xml:space="preserve">RK6</w:t>
            </w:r>
          </w:p>
        </w:tc>
        <w:tc>
          <w:tcPr/>
          <w:p>
            <w:pPr>
              <w:pStyle w:val="Compact"/>
            </w:pPr>
            <w:hyperlink r:id="rId90">
              <w:r>
                <w:rPr>
                  <w:rStyle w:val="Hyperlink"/>
                </w:rPr>
                <w:t xml:space="preserve">RAKEZ HS&amp;E Regulations, First Edition 2022</w:t>
              </w:r>
            </w:hyperlink>
          </w:p>
        </w:tc>
        <w:tc>
          <w:tcPr/>
          <w:p>
            <w:pPr>
              <w:pStyle w:val="Compact"/>
            </w:pPr>
            <w:r>
              <w:t xml:space="preserve">RAKEZ emergency, electrical, lifting, spill and reporting controls.</w:t>
            </w:r>
          </w:p>
        </w:tc>
        <w:tc>
          <w:tcPr/>
          <w:p>
            <w:pPr>
              <w:pStyle w:val="Compact"/>
            </w:pPr>
            <w:r>
              <w:t xml:space="preserve">Verified official</w:t>
            </w:r>
          </w:p>
        </w:tc>
      </w:tr>
      <w:tr>
        <w:tc>
          <w:tcPr/>
          <w:p>
            <w:pPr>
              <w:pStyle w:val="Compact"/>
            </w:pPr>
            <w:r>
              <w:rPr>
                <w:b/>
                <w:bCs/>
              </w:rPr>
              <w:t xml:space="preserve">RK7</w:t>
            </w:r>
          </w:p>
        </w:tc>
        <w:tc>
          <w:tcPr/>
          <w:p>
            <w:pPr>
              <w:pStyle w:val="Compact"/>
            </w:pPr>
            <w:hyperlink r:id="rId91">
              <w:r>
                <w:rPr>
                  <w:rStyle w:val="Hyperlink"/>
                </w:rPr>
                <w:t xml:space="preserve">RAK Sustainable Community Guidelines</w:t>
              </w:r>
            </w:hyperlink>
          </w:p>
        </w:tc>
        <w:tc>
          <w:tcPr/>
          <w:p>
            <w:pPr>
              <w:pStyle w:val="Compact"/>
            </w:pPr>
            <w:r>
              <w:t xml:space="preserve">Flood-hazard analysis, runoff quantity/quality, EIA/CEMP and coastal approval context.</w:t>
            </w:r>
          </w:p>
        </w:tc>
        <w:tc>
          <w:tcPr/>
          <w:p>
            <w:pPr>
              <w:pStyle w:val="Compact"/>
            </w:pPr>
            <w:r>
              <w:t xml:space="preserve">Verified official</w:t>
            </w:r>
          </w:p>
        </w:tc>
      </w:tr>
    </w:tbl>
    <w:bookmarkEnd w:id="92"/>
    <w:bookmarkStart w:id="100" w:name="fujairah"/>
    <w:p>
      <w:pPr>
        <w:pStyle w:val="Heading3"/>
      </w:pPr>
      <w:r>
        <w:t xml:space="preserve">Fujairah</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Ref.</w:t>
            </w:r>
          </w:p>
        </w:tc>
        <w:tc>
          <w:tcPr/>
          <w:p>
            <w:pPr>
              <w:pStyle w:val="Compact"/>
            </w:pPr>
            <w:r>
              <w:t xml:space="preserve">Title + URL</w:t>
            </w:r>
          </w:p>
        </w:tc>
        <w:tc>
          <w:tcPr/>
          <w:p>
            <w:pPr>
              <w:pStyle w:val="Compact"/>
            </w:pPr>
            <w:r>
              <w:t xml:space="preserve">What it is used for</w:t>
            </w:r>
          </w:p>
        </w:tc>
        <w:tc>
          <w:tcPr/>
          <w:p>
            <w:pPr>
              <w:pStyle w:val="Compact"/>
            </w:pPr>
            <w:r>
              <w:t xml:space="preserve">Status</w:t>
            </w:r>
          </w:p>
        </w:tc>
      </w:tr>
      <w:tr>
        <w:tc>
          <w:tcPr/>
          <w:p>
            <w:pPr>
              <w:pStyle w:val="Compact"/>
            </w:pPr>
            <w:r>
              <w:rPr>
                <w:b/>
                <w:bCs/>
              </w:rPr>
              <w:t xml:space="preserve">FU1</w:t>
            </w:r>
          </w:p>
        </w:tc>
        <w:tc>
          <w:tcPr/>
          <w:p>
            <w:pPr>
              <w:pStyle w:val="Compact"/>
            </w:pPr>
            <w:hyperlink r:id="rId93">
              <w:r>
                <w:rPr>
                  <w:rStyle w:val="Hyperlink"/>
                </w:rPr>
                <w:t xml:space="preserve">Fujairah Municipality official portal</w:t>
              </w:r>
            </w:hyperlink>
          </w:p>
        </w:tc>
        <w:tc>
          <w:tcPr/>
          <w:p>
            <w:pPr>
              <w:pStyle w:val="Compact"/>
            </w:pPr>
            <w:r>
              <w:t xml:space="preserve">Building/construction, complaints, waste and municipal call-centre route.</w:t>
            </w:r>
          </w:p>
        </w:tc>
        <w:tc>
          <w:tcPr/>
          <w:p>
            <w:pPr>
              <w:pStyle w:val="Compact"/>
            </w:pPr>
            <w:r>
              <w:t xml:space="preserve">Verified official</w:t>
            </w:r>
          </w:p>
        </w:tc>
      </w:tr>
      <w:tr>
        <w:tc>
          <w:tcPr/>
          <w:p>
            <w:pPr>
              <w:pStyle w:val="Compact"/>
            </w:pPr>
            <w:r>
              <w:rPr>
                <w:b/>
                <w:bCs/>
              </w:rPr>
              <w:t xml:space="preserve">FU2</w:t>
            </w:r>
          </w:p>
        </w:tc>
        <w:tc>
          <w:tcPr/>
          <w:p>
            <w:pPr>
              <w:pStyle w:val="Compact"/>
            </w:pPr>
            <w:hyperlink r:id="rId94">
              <w:r>
                <w:rPr>
                  <w:rStyle w:val="Hyperlink"/>
                </w:rPr>
                <w:t xml:space="preserve">Fujairah PWAD — 77 km rainwater drainage network and tunnels</w:t>
              </w:r>
            </w:hyperlink>
          </w:p>
        </w:tc>
        <w:tc>
          <w:tcPr/>
          <w:p>
            <w:pPr>
              <w:pStyle w:val="Compact"/>
            </w:pPr>
            <w:r>
              <w:t xml:space="preserve">PWAD rainwater infrastructure and public-interface context.</w:t>
            </w:r>
          </w:p>
        </w:tc>
        <w:tc>
          <w:tcPr/>
          <w:p>
            <w:pPr>
              <w:pStyle w:val="Compact"/>
            </w:pPr>
            <w:r>
              <w:t xml:space="preserve">Verified official</w:t>
            </w:r>
          </w:p>
        </w:tc>
      </w:tr>
      <w:tr>
        <w:tc>
          <w:tcPr/>
          <w:p>
            <w:pPr>
              <w:pStyle w:val="Compact"/>
            </w:pPr>
            <w:r>
              <w:rPr>
                <w:b/>
                <w:bCs/>
              </w:rPr>
              <w:t xml:space="preserve">FU3</w:t>
            </w:r>
          </w:p>
        </w:tc>
        <w:tc>
          <w:tcPr/>
          <w:p>
            <w:pPr>
              <w:pStyle w:val="Compact"/>
            </w:pPr>
            <w:hyperlink r:id="rId95">
              <w:r>
                <w:rPr>
                  <w:rStyle w:val="Hyperlink"/>
                </w:rPr>
                <w:t xml:space="preserve">NCM Fujairah forecast and observations</w:t>
              </w:r>
            </w:hyperlink>
          </w:p>
        </w:tc>
        <w:tc>
          <w:tcPr/>
          <w:p>
            <w:pPr>
              <w:pStyle w:val="Compact"/>
            </w:pPr>
            <w:r>
              <w:t xml:space="preserve">Fujairah station, radar, forecast and marine information.</w:t>
            </w:r>
          </w:p>
        </w:tc>
        <w:tc>
          <w:tcPr/>
          <w:p>
            <w:pPr>
              <w:pStyle w:val="Compact"/>
            </w:pPr>
            <w:r>
              <w:t xml:space="preserve">Verified official</w:t>
            </w:r>
          </w:p>
        </w:tc>
      </w:tr>
      <w:tr>
        <w:tc>
          <w:tcPr/>
          <w:p>
            <w:pPr>
              <w:pStyle w:val="Compact"/>
            </w:pPr>
            <w:r>
              <w:rPr>
                <w:b/>
                <w:bCs/>
              </w:rPr>
              <w:t xml:space="preserve">FU4</w:t>
            </w:r>
          </w:p>
        </w:tc>
        <w:tc>
          <w:tcPr/>
          <w:p>
            <w:pPr>
              <w:pStyle w:val="Compact"/>
            </w:pPr>
            <w:hyperlink r:id="rId96">
              <w:r>
                <w:rPr>
                  <w:rStyle w:val="Hyperlink"/>
                </w:rPr>
                <w:t xml:space="preserve">Etihad Water and Electricity official site</w:t>
              </w:r>
            </w:hyperlink>
          </w:p>
        </w:tc>
        <w:tc>
          <w:tcPr/>
          <w:p>
            <w:pPr>
              <w:pStyle w:val="Compact"/>
            </w:pPr>
            <w:r>
              <w:t xml:space="preserve">NOC, drawing approval, connections and 800 3392 fault route.</w:t>
            </w:r>
          </w:p>
        </w:tc>
        <w:tc>
          <w:tcPr/>
          <w:p>
            <w:pPr>
              <w:pStyle w:val="Compact"/>
            </w:pPr>
            <w:r>
              <w:t xml:space="preserve">Verified official</w:t>
            </w:r>
          </w:p>
        </w:tc>
      </w:tr>
      <w:tr>
        <w:tc>
          <w:tcPr/>
          <w:p>
            <w:pPr>
              <w:pStyle w:val="Compact"/>
            </w:pPr>
            <w:r>
              <w:rPr>
                <w:b/>
                <w:bCs/>
              </w:rPr>
              <w:t xml:space="preserve">FU5</w:t>
            </w:r>
          </w:p>
        </w:tc>
        <w:tc>
          <w:tcPr/>
          <w:p>
            <w:pPr>
              <w:pStyle w:val="Compact"/>
            </w:pPr>
            <w:hyperlink r:id="rId97">
              <w:r>
                <w:rPr>
                  <w:rStyle w:val="Hyperlink"/>
                </w:rPr>
                <w:t xml:space="preserve">Fujairah Environment Authority — groundwater-well drilling permit</w:t>
              </w:r>
            </w:hyperlink>
          </w:p>
        </w:tc>
        <w:tc>
          <w:tcPr/>
          <w:p>
            <w:pPr>
              <w:pStyle w:val="Compact"/>
            </w:pPr>
            <w:r>
              <w:t xml:space="preserve">Groundwater licence, quality analysis and drilling-waste record context.</w:t>
            </w:r>
          </w:p>
        </w:tc>
        <w:tc>
          <w:tcPr/>
          <w:p>
            <w:pPr>
              <w:pStyle w:val="Compact"/>
            </w:pPr>
            <w:r>
              <w:t xml:space="preserve">Verified official</w:t>
            </w:r>
          </w:p>
        </w:tc>
      </w:tr>
      <w:tr>
        <w:tc>
          <w:tcPr/>
          <w:p>
            <w:pPr>
              <w:pStyle w:val="Compact"/>
            </w:pPr>
            <w:r>
              <w:rPr>
                <w:b/>
                <w:bCs/>
              </w:rPr>
              <w:t xml:space="preserve">FU6</w:t>
            </w:r>
          </w:p>
        </w:tc>
        <w:tc>
          <w:tcPr/>
          <w:p>
            <w:pPr>
              <w:pStyle w:val="Compact"/>
            </w:pPr>
            <w:hyperlink r:id="rId98">
              <w:r>
                <w:rPr>
                  <w:rStyle w:val="Hyperlink"/>
                </w:rPr>
                <w:t xml:space="preserve">Fujairah Free Zone Authority official portal</w:t>
              </w:r>
            </w:hyperlink>
          </w:p>
        </w:tc>
        <w:tc>
          <w:tcPr/>
          <w:p>
            <w:pPr>
              <w:pStyle w:val="Compact"/>
            </w:pPr>
            <w:r>
              <w:t xml:space="preserve">Free-zone NOC/certificate and customised-building coordination route.</w:t>
            </w:r>
          </w:p>
        </w:tc>
        <w:tc>
          <w:tcPr/>
          <w:p>
            <w:pPr>
              <w:pStyle w:val="Compact"/>
            </w:pPr>
            <w:r>
              <w:t xml:space="preserve">Verified official</w:t>
            </w:r>
          </w:p>
        </w:tc>
      </w:tr>
      <w:tr>
        <w:tc>
          <w:tcPr/>
          <w:p>
            <w:pPr>
              <w:pStyle w:val="Compact"/>
            </w:pPr>
            <w:r>
              <w:rPr>
                <w:b/>
                <w:bCs/>
              </w:rPr>
              <w:t xml:space="preserve">FU7</w:t>
            </w:r>
          </w:p>
        </w:tc>
        <w:tc>
          <w:tcPr/>
          <w:p>
            <w:pPr>
              <w:pStyle w:val="Compact"/>
            </w:pPr>
            <w:hyperlink r:id="rId99">
              <w:r>
                <w:rPr>
                  <w:rStyle w:val="Hyperlink"/>
                </w:rPr>
                <w:t xml:space="preserve">Port of Fujairah — Marine Department Notice NM 148 v6</w:t>
              </w:r>
            </w:hyperlink>
          </w:p>
        </w:tc>
        <w:tc>
          <w:tcPr/>
          <w:p>
            <w:pPr>
              <w:pStyle w:val="Compact"/>
            </w:pPr>
            <w:r>
              <w:t xml:space="preserve">Port emergency VHF and terminal-specific wind/wave limits.</w:t>
            </w:r>
          </w:p>
        </w:tc>
        <w:tc>
          <w:tcPr/>
          <w:p>
            <w:pPr>
              <w:pStyle w:val="Compact"/>
            </w:pPr>
            <w:r>
              <w:t xml:space="preserve">Verified official</w:t>
            </w:r>
          </w:p>
        </w:tc>
      </w:tr>
    </w:tbl>
    <w:bookmarkEnd w:id="100"/>
    <w:bookmarkStart w:id="111" w:name="Xd7c49359e39fe936b73d76a82217423ce9a8143"/>
    <w:p>
      <w:pPr>
        <w:pStyle w:val="Heading3"/>
      </w:pPr>
      <w:r>
        <w:t xml:space="preserve">Technical standards / international good practice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Ref.</w:t>
            </w:r>
          </w:p>
        </w:tc>
        <w:tc>
          <w:tcPr/>
          <w:p>
            <w:pPr>
              <w:pStyle w:val="Compact"/>
            </w:pPr>
            <w:r>
              <w:t xml:space="preserve">Title + URL</w:t>
            </w:r>
          </w:p>
        </w:tc>
        <w:tc>
          <w:tcPr/>
          <w:p>
            <w:pPr>
              <w:pStyle w:val="Compact"/>
            </w:pPr>
            <w:r>
              <w:t xml:space="preserve">What it is used for</w:t>
            </w:r>
          </w:p>
        </w:tc>
        <w:tc>
          <w:tcPr/>
          <w:p>
            <w:pPr>
              <w:pStyle w:val="Compact"/>
            </w:pPr>
            <w:r>
              <w:t xml:space="preserve">Status</w:t>
            </w:r>
          </w:p>
        </w:tc>
      </w:tr>
      <w:tr>
        <w:tc>
          <w:tcPr/>
          <w:p>
            <w:pPr>
              <w:pStyle w:val="Compact"/>
            </w:pPr>
            <w:r>
              <w:rPr>
                <w:b/>
                <w:bCs/>
              </w:rPr>
              <w:t xml:space="preserve">T1</w:t>
            </w:r>
          </w:p>
        </w:tc>
        <w:tc>
          <w:tcPr/>
          <w:p>
            <w:pPr>
              <w:pStyle w:val="Compact"/>
            </w:pPr>
            <w:hyperlink r:id="rId101">
              <w:r>
                <w:rPr>
                  <w:rStyle w:val="Hyperlink"/>
                </w:rPr>
                <w:t xml:space="preserve">IEC 60364-7-704:2017 — Construction and demolition site installations</w:t>
              </w:r>
            </w:hyperlink>
          </w:p>
        </w:tc>
        <w:tc>
          <w:tcPr/>
          <w:p>
            <w:pPr>
              <w:pStyle w:val="Compact"/>
            </w:pPr>
            <w:r>
              <w:t xml:space="preserve">Temporary low-voltage construction-installation scope and isolation concept.</w:t>
            </w:r>
          </w:p>
        </w:tc>
        <w:tc>
          <w:tcPr/>
          <w:p>
            <w:pPr>
              <w:pStyle w:val="Compact"/>
            </w:pPr>
            <w:r>
              <w:t xml:space="preserve">Verified publisher; non-UAE benchmark</w:t>
            </w:r>
          </w:p>
        </w:tc>
      </w:tr>
      <w:tr>
        <w:tc>
          <w:tcPr/>
          <w:p>
            <w:pPr>
              <w:pStyle w:val="Compact"/>
            </w:pPr>
            <w:r>
              <w:rPr>
                <w:b/>
                <w:bCs/>
              </w:rPr>
              <w:t xml:space="preserve">T2</w:t>
            </w:r>
          </w:p>
        </w:tc>
        <w:tc>
          <w:tcPr/>
          <w:p>
            <w:pPr>
              <w:pStyle w:val="Compact"/>
            </w:pPr>
            <w:hyperlink r:id="rId102">
              <w:r>
                <w:rPr>
                  <w:rStyle w:val="Hyperlink"/>
                </w:rPr>
                <w:t xml:space="preserve">HSE HSG141 — Electrical safety on construction sites</w:t>
              </w:r>
            </w:hyperlink>
          </w:p>
        </w:tc>
        <w:tc>
          <w:tcPr/>
          <w:p>
            <w:pPr>
              <w:pStyle w:val="Compact"/>
            </w:pPr>
            <w:r>
              <w:t xml:space="preserve">Planning, installation, commissioning and operation of construction electrics.</w:t>
            </w:r>
          </w:p>
        </w:tc>
        <w:tc>
          <w:tcPr/>
          <w:p>
            <w:pPr>
              <w:pStyle w:val="Compact"/>
            </w:pPr>
            <w:r>
              <w:t xml:space="preserve">Verified regulator; non-UAE benchmark</w:t>
            </w:r>
          </w:p>
        </w:tc>
      </w:tr>
      <w:tr>
        <w:tc>
          <w:tcPr/>
          <w:p>
            <w:pPr>
              <w:pStyle w:val="Compact"/>
            </w:pPr>
            <w:r>
              <w:rPr>
                <w:b/>
                <w:bCs/>
              </w:rPr>
              <w:t xml:space="preserve">T3</w:t>
            </w:r>
          </w:p>
        </w:tc>
        <w:tc>
          <w:tcPr/>
          <w:p>
            <w:pPr>
              <w:pStyle w:val="Compact"/>
            </w:pPr>
            <w:hyperlink r:id="rId103">
              <w:r>
                <w:rPr>
                  <w:rStyle w:val="Hyperlink"/>
                </w:rPr>
                <w:t xml:space="preserve">IET Code of Practice for In-service Inspection and Testing, 5th ed.</w:t>
              </w:r>
            </w:hyperlink>
          </w:p>
        </w:tc>
        <w:tc>
          <w:tcPr/>
          <w:p>
            <w:pPr>
              <w:pStyle w:val="Compact"/>
            </w:pPr>
            <w:r>
              <w:t xml:space="preserve">Risk-based equipment inspection/testing after exposure or damage.</w:t>
            </w:r>
          </w:p>
        </w:tc>
        <w:tc>
          <w:tcPr/>
          <w:p>
            <w:pPr>
              <w:pStyle w:val="Compact"/>
            </w:pPr>
            <w:r>
              <w:t xml:space="preserve">Verified publisher; non-UAE benchmark</w:t>
            </w:r>
          </w:p>
        </w:tc>
      </w:tr>
      <w:tr>
        <w:tc>
          <w:tcPr/>
          <w:p>
            <w:pPr>
              <w:pStyle w:val="Compact"/>
            </w:pPr>
            <w:r>
              <w:rPr>
                <w:b/>
                <w:bCs/>
              </w:rPr>
              <w:t xml:space="preserve">T4</w:t>
            </w:r>
          </w:p>
        </w:tc>
        <w:tc>
          <w:tcPr/>
          <w:p>
            <w:pPr>
              <w:pStyle w:val="Compact"/>
            </w:pPr>
            <w:hyperlink r:id="rId104">
              <w:r>
                <w:rPr>
                  <w:rStyle w:val="Hyperlink"/>
                </w:rPr>
                <w:t xml:space="preserve">HSE — Excavations</w:t>
              </w:r>
            </w:hyperlink>
          </w:p>
        </w:tc>
        <w:tc>
          <w:tcPr/>
          <w:p>
            <w:pPr>
              <w:pStyle w:val="Compact"/>
            </w:pPr>
            <w:r>
              <w:t xml:space="preserve">Water inflow, wet ground, pumping effects and competent inspection.</w:t>
            </w:r>
          </w:p>
        </w:tc>
        <w:tc>
          <w:tcPr/>
          <w:p>
            <w:pPr>
              <w:pStyle w:val="Compact"/>
            </w:pPr>
            <w:r>
              <w:t xml:space="preserve">Verified regulator; non-UAE benchmark</w:t>
            </w:r>
          </w:p>
        </w:tc>
      </w:tr>
      <w:tr>
        <w:tc>
          <w:tcPr/>
          <w:p>
            <w:pPr>
              <w:pStyle w:val="Compact"/>
            </w:pPr>
            <w:r>
              <w:rPr>
                <w:b/>
                <w:bCs/>
              </w:rPr>
              <w:t xml:space="preserve">T5</w:t>
            </w:r>
          </w:p>
        </w:tc>
        <w:tc>
          <w:tcPr/>
          <w:p>
            <w:pPr>
              <w:pStyle w:val="Compact"/>
            </w:pPr>
            <w:hyperlink r:id="rId105">
              <w:r>
                <w:rPr>
                  <w:rStyle w:val="Hyperlink"/>
                </w:rPr>
                <w:t xml:space="preserve">OSHA 2226 — Trenching and Excavation Safety</w:t>
              </w:r>
            </w:hyperlink>
          </w:p>
        </w:tc>
        <w:tc>
          <w:tcPr/>
          <w:p>
            <w:pPr>
              <w:pStyle w:val="Compact"/>
            </w:pPr>
            <w:r>
              <w:t xml:space="preserve">Accumulating-water, diversion and post-rain excavation control.</w:t>
            </w:r>
          </w:p>
        </w:tc>
        <w:tc>
          <w:tcPr/>
          <w:p>
            <w:pPr>
              <w:pStyle w:val="Compact"/>
            </w:pPr>
            <w:r>
              <w:t xml:space="preserve">Verified regulator; non-UAE benchmark</w:t>
            </w:r>
          </w:p>
        </w:tc>
      </w:tr>
      <w:tr>
        <w:tc>
          <w:tcPr/>
          <w:p>
            <w:pPr>
              <w:pStyle w:val="Compact"/>
            </w:pPr>
            <w:r>
              <w:rPr>
                <w:b/>
                <w:bCs/>
              </w:rPr>
              <w:t xml:space="preserve">T6</w:t>
            </w:r>
          </w:p>
        </w:tc>
        <w:tc>
          <w:tcPr/>
          <w:p>
            <w:pPr>
              <w:pStyle w:val="Compact"/>
            </w:pPr>
            <w:hyperlink r:id="rId106">
              <w:r>
                <w:rPr>
                  <w:rStyle w:val="Hyperlink"/>
                </w:rPr>
                <w:t xml:space="preserve">OSHA 29 CFR 1926 Subpart P — Excavations</w:t>
              </w:r>
            </w:hyperlink>
          </w:p>
        </w:tc>
        <w:tc>
          <w:tcPr/>
          <w:p>
            <w:pPr>
              <w:pStyle w:val="Compact"/>
            </w:pPr>
            <w:r>
              <w:t xml:space="preserve">Codified excavation protective-system reference.</w:t>
            </w:r>
          </w:p>
        </w:tc>
        <w:tc>
          <w:tcPr/>
          <w:p>
            <w:pPr>
              <w:pStyle w:val="Compact"/>
            </w:pPr>
            <w:r>
              <w:t xml:space="preserve">Verified regulator; non-UAE benchmark</w:t>
            </w:r>
          </w:p>
        </w:tc>
      </w:tr>
      <w:tr>
        <w:tc>
          <w:tcPr/>
          <w:p>
            <w:pPr>
              <w:pStyle w:val="Compact"/>
            </w:pPr>
            <w:r>
              <w:rPr>
                <w:b/>
                <w:bCs/>
              </w:rPr>
              <w:t xml:space="preserve">T7</w:t>
            </w:r>
          </w:p>
        </w:tc>
        <w:tc>
          <w:tcPr/>
          <w:p>
            <w:pPr>
              <w:pStyle w:val="Compact"/>
            </w:pPr>
            <w:hyperlink r:id="rId107">
              <w:r>
                <w:rPr>
                  <w:rStyle w:val="Hyperlink"/>
                </w:rPr>
                <w:t xml:space="preserve">HSE L101 — Safe work in confined spaces</w:t>
              </w:r>
            </w:hyperlink>
          </w:p>
        </w:tc>
        <w:tc>
          <w:tcPr/>
          <w:p>
            <w:pPr>
              <w:pStyle w:val="Compact"/>
            </w:pPr>
            <w:r>
              <w:t xml:space="preserve">Permit/system of work, atmospheric testing, attendant and rescue principles.</w:t>
            </w:r>
          </w:p>
        </w:tc>
        <w:tc>
          <w:tcPr/>
          <w:p>
            <w:pPr>
              <w:pStyle w:val="Compact"/>
            </w:pPr>
            <w:r>
              <w:t xml:space="preserve">Verified regulator; non-UAE benchmark</w:t>
            </w:r>
          </w:p>
        </w:tc>
      </w:tr>
      <w:tr>
        <w:tc>
          <w:tcPr/>
          <w:p>
            <w:pPr>
              <w:pStyle w:val="Compact"/>
            </w:pPr>
            <w:r>
              <w:rPr>
                <w:b/>
                <w:bCs/>
              </w:rPr>
              <w:t xml:space="preserve">T8</w:t>
            </w:r>
          </w:p>
        </w:tc>
        <w:tc>
          <w:tcPr/>
          <w:p>
            <w:pPr>
              <w:pStyle w:val="Compact"/>
            </w:pPr>
            <w:hyperlink r:id="rId108">
              <w:r>
                <w:rPr>
                  <w:rStyle w:val="Hyperlink"/>
                </w:rPr>
                <w:t xml:space="preserve">HSE — Lifting operations</w:t>
              </w:r>
            </w:hyperlink>
          </w:p>
        </w:tc>
        <w:tc>
          <w:tcPr/>
          <w:p>
            <w:pPr>
              <w:pStyle w:val="Compact"/>
            </w:pPr>
            <w:r>
              <w:t xml:space="preserve">Competent planning, supervision and BS 7121 signpost.</w:t>
            </w:r>
          </w:p>
        </w:tc>
        <w:tc>
          <w:tcPr/>
          <w:p>
            <w:pPr>
              <w:pStyle w:val="Compact"/>
            </w:pPr>
            <w:r>
              <w:t xml:space="preserve">Verified regulator; non-UAE benchmark</w:t>
            </w:r>
          </w:p>
        </w:tc>
      </w:tr>
      <w:tr>
        <w:tc>
          <w:tcPr/>
          <w:p>
            <w:pPr>
              <w:pStyle w:val="Compact"/>
            </w:pPr>
            <w:r>
              <w:rPr>
                <w:b/>
                <w:bCs/>
              </w:rPr>
              <w:t xml:space="preserve">T9</w:t>
            </w:r>
          </w:p>
        </w:tc>
        <w:tc>
          <w:tcPr/>
          <w:p>
            <w:pPr>
              <w:pStyle w:val="Compact"/>
            </w:pPr>
            <w:hyperlink r:id="rId109">
              <w:r>
                <w:rPr>
                  <w:rStyle w:val="Hyperlink"/>
                </w:rPr>
                <w:t xml:space="preserve">CIRIA — SuDS construction guidance (C768; links C753)</w:t>
              </w:r>
            </w:hyperlink>
          </w:p>
        </w:tc>
        <w:tc>
          <w:tcPr/>
          <w:p>
            <w:pPr>
              <w:pStyle w:val="Compact"/>
            </w:pPr>
            <w:r>
              <w:t xml:space="preserve">Flow-path, erosion, flood-risk and water-quality controls.</w:t>
            </w:r>
          </w:p>
        </w:tc>
        <w:tc>
          <w:tcPr/>
          <w:p>
            <w:pPr>
              <w:pStyle w:val="Compact"/>
            </w:pPr>
            <w:r>
              <w:t xml:space="preserve">Verified publisher; non-UAE benchmark</w:t>
            </w:r>
          </w:p>
        </w:tc>
      </w:tr>
      <w:tr>
        <w:tc>
          <w:tcPr/>
          <w:p>
            <w:pPr>
              <w:pStyle w:val="Compact"/>
            </w:pPr>
            <w:r>
              <w:rPr>
                <w:b/>
                <w:bCs/>
              </w:rPr>
              <w:t xml:space="preserve">T10</w:t>
            </w:r>
          </w:p>
        </w:tc>
        <w:tc>
          <w:tcPr/>
          <w:p>
            <w:pPr>
              <w:pStyle w:val="Compact"/>
            </w:pPr>
            <w:hyperlink r:id="rId110">
              <w:r>
                <w:rPr>
                  <w:rStyle w:val="Hyperlink"/>
                </w:rPr>
                <w:t xml:space="preserve">HSE — Introduction to working at height safely</w:t>
              </w:r>
            </w:hyperlink>
          </w:p>
        </w:tc>
        <w:tc>
          <w:tcPr/>
          <w:p>
            <w:pPr>
              <w:pStyle w:val="Compact"/>
            </w:pPr>
            <w:r>
              <w:t xml:space="preserve">Stable equipment, checks, fall protection and rescue planning.</w:t>
            </w:r>
          </w:p>
        </w:tc>
        <w:tc>
          <w:tcPr/>
          <w:p>
            <w:pPr>
              <w:pStyle w:val="Compact"/>
            </w:pPr>
            <w:r>
              <w:t xml:space="preserve">Verified regulator; non-UAE benchmark</w:t>
            </w:r>
          </w:p>
        </w:tc>
      </w:tr>
    </w:tbl>
    <w:bookmarkEnd w:id="111"/>
    <w:bookmarkStart w:id="117" w:name="environmental-public-health-controls"/>
    <w:p>
      <w:pPr>
        <w:pStyle w:val="Heading3"/>
      </w:pPr>
      <w:r>
        <w:t xml:space="preserve">Environmental / public-health controls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Ref.</w:t>
            </w:r>
          </w:p>
        </w:tc>
        <w:tc>
          <w:tcPr/>
          <w:p>
            <w:pPr>
              <w:pStyle w:val="Compact"/>
            </w:pPr>
            <w:r>
              <w:t xml:space="preserve">Title + URL</w:t>
            </w:r>
          </w:p>
        </w:tc>
        <w:tc>
          <w:tcPr/>
          <w:p>
            <w:pPr>
              <w:pStyle w:val="Compact"/>
            </w:pPr>
            <w:r>
              <w:t xml:space="preserve">What it is used for</w:t>
            </w:r>
          </w:p>
        </w:tc>
        <w:tc>
          <w:tcPr/>
          <w:p>
            <w:pPr>
              <w:pStyle w:val="Compact"/>
            </w:pPr>
            <w:r>
              <w:t xml:space="preserve">Status</w:t>
            </w:r>
          </w:p>
        </w:tc>
      </w:tr>
      <w:tr>
        <w:tc>
          <w:tcPr/>
          <w:p>
            <w:pPr>
              <w:pStyle w:val="Compact"/>
            </w:pPr>
            <w:r>
              <w:rPr>
                <w:b/>
                <w:bCs/>
              </w:rPr>
              <w:t xml:space="preserve">EN1</w:t>
            </w:r>
          </w:p>
        </w:tc>
        <w:tc>
          <w:tcPr/>
          <w:p>
            <w:pPr>
              <w:pStyle w:val="Compact"/>
            </w:pPr>
            <w:hyperlink r:id="rId112">
              <w:r>
                <w:rPr>
                  <w:rStyle w:val="Hyperlink"/>
                </w:rPr>
                <w:t xml:space="preserve">Dubai Local Order No. (8) of 2002 — Sewerage, Irrigation and Water</w:t>
              </w:r>
            </w:hyperlink>
          </w:p>
        </w:tc>
        <w:tc>
          <w:tcPr/>
          <w:p>
            <w:pPr>
              <w:pStyle w:val="Compact"/>
            </w:pPr>
            <w:r>
              <w:t xml:space="preserve">Written dewatering permit, controlled pumps/pipes/discharge, sediment, supervision and reinstatement.</w:t>
            </w:r>
          </w:p>
        </w:tc>
        <w:tc>
          <w:tcPr/>
          <w:p>
            <w:pPr>
              <w:pStyle w:val="Compact"/>
            </w:pPr>
            <w:r>
              <w:t xml:space="preserve">Verified official legislation</w:t>
            </w:r>
          </w:p>
        </w:tc>
      </w:tr>
      <w:tr>
        <w:tc>
          <w:tcPr/>
          <w:p>
            <w:pPr>
              <w:pStyle w:val="Compact"/>
            </w:pPr>
            <w:r>
              <w:rPr>
                <w:b/>
                <w:bCs/>
              </w:rPr>
              <w:t xml:space="preserve">EN2</w:t>
            </w:r>
          </w:p>
        </w:tc>
        <w:tc>
          <w:tcPr/>
          <w:p>
            <w:pPr>
              <w:pStyle w:val="Compact"/>
            </w:pPr>
            <w:hyperlink r:id="rId113">
              <w:r>
                <w:rPr>
                  <w:rStyle w:val="Hyperlink"/>
                </w:rPr>
                <w:t xml:space="preserve">Dubai Green Building Regulations and Specifications</w:t>
              </w:r>
            </w:hyperlink>
          </w:p>
        </w:tc>
        <w:tc>
          <w:tcPr/>
          <w:p>
            <w:pPr>
              <w:pStyle w:val="Compact"/>
            </w:pPr>
            <w:r>
              <w:t xml:space="preserve">Runoff/erosion control, waste segregation and water-system hygiene requirements.</w:t>
            </w:r>
          </w:p>
        </w:tc>
        <w:tc>
          <w:tcPr/>
          <w:p>
            <w:pPr>
              <w:pStyle w:val="Compact"/>
            </w:pPr>
            <w:r>
              <w:t xml:space="preserve">Verified official</w:t>
            </w:r>
          </w:p>
        </w:tc>
      </w:tr>
      <w:tr>
        <w:tc>
          <w:tcPr/>
          <w:p>
            <w:pPr>
              <w:pStyle w:val="Compact"/>
            </w:pPr>
            <w:r>
              <w:rPr>
                <w:b/>
                <w:bCs/>
              </w:rPr>
              <w:t xml:space="preserve">EN3</w:t>
            </w:r>
          </w:p>
        </w:tc>
        <w:tc>
          <w:tcPr/>
          <w:p>
            <w:pPr>
              <w:pStyle w:val="Compact"/>
            </w:pPr>
            <w:hyperlink r:id="rId114">
              <w:r>
                <w:rPr>
                  <w:rStyle w:val="Hyperlink"/>
                </w:rPr>
                <w:t xml:space="preserve">Abu Dhabi DoE — Water Quality Regulations 2025</w:t>
              </w:r>
            </w:hyperlink>
          </w:p>
        </w:tc>
        <w:tc>
          <w:tcPr/>
          <w:p>
            <w:pPr>
              <w:pStyle w:val="Compact"/>
            </w:pPr>
            <w:r>
              <w:t xml:space="preserve">Unsafe-source sampling and water-quality/non-compliance reporting.</w:t>
            </w:r>
          </w:p>
        </w:tc>
        <w:tc>
          <w:tcPr/>
          <w:p>
            <w:pPr>
              <w:pStyle w:val="Compact"/>
            </w:pPr>
            <w:r>
              <w:t xml:space="preserve">Verified official</w:t>
            </w:r>
          </w:p>
        </w:tc>
      </w:tr>
      <w:tr>
        <w:tc>
          <w:tcPr/>
          <w:p>
            <w:pPr>
              <w:pStyle w:val="Compact"/>
            </w:pPr>
            <w:r>
              <w:rPr>
                <w:b/>
                <w:bCs/>
              </w:rPr>
              <w:t xml:space="preserve">EN4</w:t>
            </w:r>
          </w:p>
        </w:tc>
        <w:tc>
          <w:tcPr/>
          <w:p>
            <w:pPr>
              <w:pStyle w:val="Compact"/>
            </w:pPr>
            <w:hyperlink r:id="rId115">
              <w:r>
                <w:rPr>
                  <w:rStyle w:val="Hyperlink"/>
                </w:rPr>
                <w:t xml:space="preserve">ADAFSA Code of Practice No. 29 of 2019 — Food Hygiene for Retail Businesses</w:t>
              </w:r>
            </w:hyperlink>
          </w:p>
        </w:tc>
        <w:tc>
          <w:tcPr/>
          <w:p>
            <w:pPr>
              <w:pStyle w:val="Compact"/>
            </w:pPr>
            <w:r>
              <w:t xml:space="preserve">Food permission, handlers, HACCP/GHP and traceability in Abu Dhabi.</w:t>
            </w:r>
          </w:p>
        </w:tc>
        <w:tc>
          <w:tcPr/>
          <w:p>
            <w:pPr>
              <w:pStyle w:val="Compact"/>
            </w:pPr>
            <w:r>
              <w:t xml:space="preserve">Verified official</w:t>
            </w:r>
          </w:p>
        </w:tc>
      </w:tr>
      <w:tr>
        <w:tc>
          <w:tcPr/>
          <w:p>
            <w:pPr>
              <w:pStyle w:val="Compact"/>
            </w:pPr>
            <w:r>
              <w:rPr>
                <w:b/>
                <w:bCs/>
              </w:rPr>
              <w:t xml:space="preserve">EN5</w:t>
            </w:r>
          </w:p>
        </w:tc>
        <w:tc>
          <w:tcPr/>
          <w:p>
            <w:pPr>
              <w:pStyle w:val="Compact"/>
            </w:pPr>
            <w:hyperlink r:id="rId116">
              <w:r>
                <w:rPr>
                  <w:rStyle w:val="Hyperlink"/>
                </w:rPr>
                <w:t xml:space="preserve">Fujairah Environment Authority — Groundwater Well Cleaning/Maintenance Permit</w:t>
              </w:r>
            </w:hyperlink>
          </w:p>
        </w:tc>
        <w:tc>
          <w:tcPr/>
          <w:p>
            <w:pPr>
              <w:pStyle w:val="Compact"/>
            </w:pPr>
            <w:r>
              <w:t xml:space="preserve">Prior approval, quality report and waste-management record; not a universal discharge permit.</w:t>
            </w:r>
          </w:p>
        </w:tc>
        <w:tc>
          <w:tcPr/>
          <w:p>
            <w:pPr>
              <w:pStyle w:val="Compact"/>
            </w:pPr>
            <w:r>
              <w:t xml:space="preserve">Verified official</w:t>
            </w:r>
          </w:p>
        </w:tc>
      </w:tr>
    </w:tbl>
    <w:bookmarkEnd w:id="117"/>
    <w:bookmarkEnd w:id="118"/>
    <w:bookmarkStart w:id="119" w:name="X7eaaf72da0b0f5fee712f47719393838f50ac91"/>
    <w:p>
      <w:pPr>
        <w:pStyle w:val="Heading2"/>
      </w:pPr>
      <w:r>
        <w:t xml:space="preserve">6. Verification limits, contradictions and items not to overstate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Item</w:t>
            </w:r>
          </w:p>
        </w:tc>
        <w:tc>
          <w:tcPr/>
          <w:p>
            <w:pPr>
              <w:pStyle w:val="Compact"/>
            </w:pPr>
            <w:r>
              <w:t xml:space="preserve">Position for this dossier</w:t>
            </w:r>
          </w:p>
        </w:tc>
        <w:tc>
          <w:tcPr/>
          <w:p>
            <w:pPr>
              <w:pStyle w:val="Compact"/>
            </w:pPr>
            <w:r>
              <w:t xml:space="preserve">Action</w:t>
            </w:r>
          </w:p>
        </w:tc>
      </w:tr>
      <w:tr>
        <w:tc>
          <w:tcPr/>
          <w:p>
            <w:pPr>
              <w:pStyle w:val="Compact"/>
            </w:pPr>
            <w:r>
              <w:t xml:space="preserve">NCM yellow/orange/red meanings</w:t>
            </w:r>
          </w:p>
        </w:tc>
        <w:tc>
          <w:tcPr/>
          <w:p>
            <w:pPr>
              <w:pStyle w:val="Compact"/>
            </w:pPr>
            <w:r>
              <w:t xml:space="preserve">A current primary NCM English source defining construction-specific colour thresholds was</w:t>
            </w:r>
            <w:r>
              <w:t xml:space="preserve"> </w:t>
            </w:r>
            <w:r>
              <w:rPr>
                <w:b/>
                <w:bCs/>
              </w:rPr>
              <w:t xml:space="preserve">not verified</w:t>
            </w:r>
            <w:r>
              <w:t xml:space="preserve">.</w:t>
            </w:r>
          </w:p>
        </w:tc>
        <w:tc>
          <w:tcPr/>
          <w:p>
            <w:pPr>
              <w:pStyle w:val="Compact"/>
            </w:pPr>
            <w:r>
              <w:t xml:space="preserve">Log official wording/time/area; apply the project risk matrix and local instructions. [F1]</w:t>
            </w:r>
          </w:p>
        </w:tc>
      </w:tr>
      <w:tr>
        <w:tc>
          <w:tcPr/>
          <w:p>
            <w:pPr>
              <w:pStyle w:val="Compact"/>
            </w:pPr>
            <w:r>
              <w:t xml:space="preserve">Sharjah drainage technical criteria</w:t>
            </w:r>
          </w:p>
        </w:tc>
        <w:tc>
          <w:tcPr/>
          <w:p>
            <w:pPr>
              <w:pStyle w:val="Compact"/>
            </w:pPr>
            <w:r>
              <w:t xml:space="preserve">The Municipality drainage e-service is official, but public technical design criteria were not exposed in research.</w:t>
            </w:r>
          </w:p>
        </w:tc>
        <w:tc>
          <w:tcPr/>
          <w:p>
            <w:pPr>
              <w:pStyle w:val="Compact"/>
            </w:pPr>
            <w:r>
              <w:t xml:space="preserve">Obtain written project-specific discharge, connection and inspection conditions. [SH1]</w:t>
            </w:r>
          </w:p>
        </w:tc>
      </w:tr>
      <w:tr>
        <w:tc>
          <w:tcPr/>
          <w:p>
            <w:pPr>
              <w:pStyle w:val="Compact"/>
            </w:pPr>
            <w:r>
              <w:t xml:space="preserve">UAQ service catalogue availability</w:t>
            </w:r>
          </w:p>
        </w:tc>
        <w:tc>
          <w:tcPr/>
          <w:p>
            <w:pPr>
              <w:pStyle w:val="Compact"/>
            </w:pPr>
            <w:r>
              <w:t xml:space="preserve">The official catalogue may show maintenance/intermittent availability.</w:t>
            </w:r>
          </w:p>
        </w:tc>
        <w:tc>
          <w:tcPr/>
          <w:p>
            <w:pPr>
              <w:pStyle w:val="Compact"/>
            </w:pPr>
            <w:r>
              <w:t xml:space="preserve">Verify the active municipal permit, drainage and environmental contact directly before work. [UA1]</w:t>
            </w:r>
          </w:p>
        </w:tc>
      </w:tr>
      <w:tr>
        <w:tc>
          <w:tcPr/>
          <w:p>
            <w:pPr>
              <w:pStyle w:val="Compact"/>
            </w:pPr>
            <w:r>
              <w:t xml:space="preserve">Ajman flood capacity</w:t>
            </w:r>
          </w:p>
        </w:tc>
        <w:tc>
          <w:tcPr/>
          <w:p>
            <w:pPr>
              <w:pStyle w:val="Compact"/>
            </w:pPr>
            <w:r>
              <w:t xml:space="preserve">No verified parcel-level flood map, return period, pumping or drainage capacity was found for Al Jurf or Ajman Corniche.</w:t>
            </w:r>
          </w:p>
        </w:tc>
        <w:tc>
          <w:tcPr/>
          <w:p>
            <w:pPr>
              <w:pStyle w:val="Compact"/>
            </w:pPr>
            <w:r>
              <w:t xml:space="preserve">Carry out survey/level/flood-route study and obtain MPDA confirmation; do not cite facility waste capacity as drainage capacity. [AJ4]</w:t>
            </w:r>
          </w:p>
        </w:tc>
      </w:tr>
      <w:tr>
        <w:tc>
          <w:tcPr/>
          <w:p>
            <w:pPr>
              <w:pStyle w:val="Compact"/>
            </w:pPr>
            <w:r>
              <w:t xml:space="preserve">RAK Civil Defence number</w:t>
            </w:r>
          </w:p>
        </w:tc>
        <w:tc>
          <w:tcPr/>
          <w:p>
            <w:pPr>
              <w:pStyle w:val="Compact"/>
            </w:pPr>
            <w:r>
              <w:t xml:space="preserve">General UAE guidance lists 997 Civil Defence; RAKEZ HS&amp;E says call RAK Civil Defence on 999 for spill/fire/suspected gas leak.</w:t>
            </w:r>
          </w:p>
        </w:tc>
        <w:tc>
          <w:tcPr/>
          <w:p>
            <w:pPr>
              <w:pStyle w:val="Compact"/>
            </w:pPr>
            <w:r>
              <w:t xml:space="preserve">Post</w:t>
            </w:r>
            <w:r>
              <w:t xml:space="preserve"> </w:t>
            </w:r>
            <w:r>
              <w:rPr>
                <w:b/>
                <w:bCs/>
              </w:rPr>
              <w:t xml:space="preserve">both 999 and 997</w:t>
            </w:r>
            <w:r>
              <w:t xml:space="preserve">; call 999 immediately for life-threatening event and follow RAKEZ/local plan. [F12; RK6]</w:t>
            </w:r>
          </w:p>
        </w:tc>
      </w:tr>
      <w:tr>
        <w:tc>
          <w:tcPr/>
          <w:p>
            <w:pPr>
              <w:pStyle w:val="Compact"/>
            </w:pPr>
            <w:r>
              <w:t xml:space="preserve">April 2024 “record” wording</w:t>
            </w:r>
          </w:p>
        </w:tc>
        <w:tc>
          <w:tcPr/>
          <w:p>
            <w:pPr>
              <w:pStyle w:val="Compact"/>
            </w:pPr>
            <w:r>
              <w:t xml:space="preserve">NCM/WAM calls April 2024 largest since records began in 1949, while the same report notes Shuwaib’s 287.6 mm 9 Mar 2016 single-station benchmark.</w:t>
            </w:r>
          </w:p>
        </w:tc>
        <w:tc>
          <w:tcPr/>
          <w:p>
            <w:pPr>
              <w:pStyle w:val="Compact"/>
            </w:pPr>
            <w:r>
              <w:t xml:space="preserve">Avoid claiming an unqualified all-station daily record; cite the source’s exact context. [EV1]</w:t>
            </w:r>
          </w:p>
        </w:tc>
      </w:tr>
      <w:tr>
        <w:tc>
          <w:tcPr/>
          <w:p>
            <w:pPr>
              <w:pStyle w:val="Compact"/>
            </w:pPr>
            <w:r>
              <w:t xml:space="preserve">Al Ain culvert length</w:t>
            </w:r>
          </w:p>
        </w:tc>
        <w:tc>
          <w:tcPr/>
          <w:p>
            <w:pPr>
              <w:pStyle w:val="Compact"/>
            </w:pPr>
            <w:r>
              <w:t xml:space="preserve">The 30 Aug 2025 release states both 2,390 m and 2,600 m.</w:t>
            </w:r>
          </w:p>
        </w:tc>
        <w:tc>
          <w:tcPr/>
          <w:p>
            <w:pPr>
              <w:pStyle w:val="Compact"/>
            </w:pPr>
            <w:r>
              <w:t xml:space="preserve">Treat</w:t>
            </w:r>
            <w:r>
              <w:t xml:space="preserve"> </w:t>
            </w:r>
            <w:r>
              <w:rPr>
                <w:b/>
                <w:bCs/>
              </w:rPr>
              <w:t xml:space="preserve">20 m³/s</w:t>
            </w:r>
            <w:r>
              <w:t xml:space="preserve"> </w:t>
            </w:r>
            <w:r>
              <w:t xml:space="preserve">and length as press-release information only; use approved as-builts/design. [EV6]</w:t>
            </w:r>
          </w:p>
        </w:tc>
      </w:tr>
      <w:tr>
        <w:tc>
          <w:tcPr/>
          <w:p>
            <w:pPr>
              <w:pStyle w:val="Compact"/>
            </w:pPr>
            <w:r>
              <w:t xml:space="preserve">Fujairah Port limits</w:t>
            </w:r>
          </w:p>
        </w:tc>
        <w:tc>
          <w:tcPr/>
          <w:p>
            <w:pPr>
              <w:pStyle w:val="Compact"/>
            </w:pPr>
            <w:r>
              <w:t xml:space="preserve">Published wind/wave numbers relate to ADNOC Onshore Fujairah Terminal operations.</w:t>
            </w:r>
          </w:p>
        </w:tc>
        <w:tc>
          <w:tcPr/>
          <w:p>
            <w:pPr>
              <w:pStyle w:val="Compact"/>
            </w:pPr>
            <w:r>
              <w:t xml:space="preserve">Do not apply them as universal construction/crane thresholds. [FU7]</w:t>
            </w:r>
          </w:p>
        </w:tc>
      </w:tr>
      <w:tr>
        <w:tc>
          <w:tcPr/>
          <w:p>
            <w:pPr>
              <w:pStyle w:val="Compact"/>
            </w:pPr>
            <w:r>
              <w:t xml:space="preserve">110 V electrical practice</w:t>
            </w:r>
          </w:p>
        </w:tc>
        <w:tc>
          <w:tcPr/>
          <w:p>
            <w:pPr>
              <w:pStyle w:val="Compact"/>
            </w:pPr>
            <w:r>
              <w:t xml:space="preserve">ADOSH specifies temporary 110 V in Abu Dhabi; UK 110 V CTE is a benchmark.</w:t>
            </w:r>
          </w:p>
        </w:tc>
        <w:tc>
          <w:tcPr/>
          <w:p>
            <w:pPr>
              <w:pStyle w:val="Compact"/>
            </w:pPr>
            <w:r>
              <w:t xml:space="preserve">Do not assume either is a national UAE rule; verify local utility/authority and design. [AD4; T1]</w:t>
            </w:r>
          </w:p>
        </w:tc>
      </w:tr>
      <w:tr>
        <w:tc>
          <w:tcPr/>
          <w:p>
            <w:pPr>
              <w:pStyle w:val="Compact"/>
            </w:pPr>
            <w:r>
              <w:t xml:space="preserve">DDA dewatering NOC</w:t>
            </w:r>
          </w:p>
        </w:tc>
        <w:tc>
          <w:tcPr/>
          <w:p>
            <w:pPr>
              <w:pStyle w:val="Compact"/>
            </w:pPr>
            <w:r>
              <w:t xml:space="preserve">It authorises a defined underground-water route in DDA jurisdiction.</w:t>
            </w:r>
          </w:p>
        </w:tc>
        <w:tc>
          <w:tcPr/>
          <w:p>
            <w:pPr>
              <w:pStyle w:val="Compact"/>
            </w:pPr>
            <w:r>
              <w:t xml:space="preserve">It is</w:t>
            </w:r>
            <w:r>
              <w:t xml:space="preserve"> </w:t>
            </w:r>
            <w:r>
              <w:rPr>
                <w:b/>
                <w:bCs/>
              </w:rPr>
              <w:t xml:space="preserve">not</w:t>
            </w:r>
            <w:r>
              <w:t xml:space="preserve"> </w:t>
            </w:r>
            <w:r>
              <w:t xml:space="preserve">a blanket permission for sewage, oily, silty or contaminated discharge. [DB3; EN1]</w:t>
            </w:r>
          </w:p>
        </w:tc>
      </w:tr>
      <w:tr>
        <w:tc>
          <w:tcPr/>
          <w:p>
            <w:pPr>
              <w:pStyle w:val="Compact"/>
            </w:pPr>
            <w:r>
              <w:t xml:space="preserve">SAIF Zone manual</w:t>
            </w:r>
          </w:p>
        </w:tc>
        <w:tc>
          <w:tcPr/>
          <w:p>
            <w:pPr>
              <w:pStyle w:val="Compact"/>
            </w:pPr>
            <w:r>
              <w:t xml:space="preserve">No current SAIF construction EHS manual/regulation number was verified in the supplied research.</w:t>
            </w:r>
          </w:p>
        </w:tc>
        <w:tc>
          <w:tcPr/>
          <w:p>
            <w:pPr>
              <w:pStyle w:val="Compact"/>
            </w:pPr>
            <w:r>
              <w:t xml:space="preserve">Confirm current SAIF engineering/EHS requirements with the zone; do not cite an invented number.</w:t>
            </w:r>
          </w:p>
        </w:tc>
      </w:tr>
      <w:tr>
        <w:tc>
          <w:tcPr/>
          <w:p>
            <w:pPr>
              <w:pStyle w:val="Compact"/>
            </w:pPr>
            <w:r>
              <w:t xml:space="preserve">Third-party Ajman 2024 flood article</w:t>
            </w:r>
          </w:p>
        </w:tc>
        <w:tc>
          <w:tcPr/>
          <w:p>
            <w:pPr>
              <w:pStyle w:val="Compact"/>
            </w:pPr>
            <w:r>
              <w:t xml:space="preserve">A media report was supplied as incident context, not as a design standard and was not independently verified here.</w:t>
            </w:r>
          </w:p>
        </w:tc>
        <w:tc>
          <w:tcPr/>
          <w:p>
            <w:pPr>
              <w:pStyle w:val="Compact"/>
            </w:pPr>
            <w:r>
              <w:t xml:space="preserve">It is</w:t>
            </w:r>
            <w:r>
              <w:t xml:space="preserve"> </w:t>
            </w:r>
            <w:r>
              <w:rPr>
                <w:b/>
                <w:bCs/>
              </w:rPr>
              <w:t xml:space="preserve">unverified for requirements</w:t>
            </w:r>
            <w:r>
              <w:t xml:space="preserve"> </w:t>
            </w:r>
            <w:r>
              <w:t xml:space="preserve">and not used in this dossier’s obligations/checklist.</w:t>
            </w:r>
          </w:p>
        </w:tc>
      </w:tr>
      <w:tr>
        <w:tc>
          <w:tcPr/>
          <w:p>
            <w:pPr>
              <w:pStyle w:val="Compact"/>
            </w:pPr>
            <w:r>
              <w:t xml:space="preserve">Paywalled/edition-dependent standards</w:t>
            </w:r>
          </w:p>
        </w:tc>
        <w:tc>
          <w:tcPr/>
          <w:p>
            <w:pPr>
              <w:pStyle w:val="Compact"/>
            </w:pPr>
            <w:r>
              <w:t xml:space="preserve">BS 6031, BS 5975, BS 7121, BS EN 12811, TG20, CIRIA C760 and full BS 7671 texts were referenced by title in research but not verified clause-by-clause.</w:t>
            </w:r>
          </w:p>
        </w:tc>
        <w:tc>
          <w:tcPr/>
          <w:p>
            <w:pPr>
              <w:pStyle w:val="Compact"/>
            </w:pPr>
            <w:r>
              <w:t xml:space="preserve">Use the project’s current purchased edition before contractual or clause citation.</w:t>
            </w:r>
          </w:p>
        </w:tc>
      </w:tr>
    </w:tbl>
    <w:bookmarkEnd w:id="119"/>
    <w:bookmarkStart w:id="120" w:name="minimum-site-evidence-pack"/>
    <w:p>
      <w:pPr>
        <w:pStyle w:val="Heading2"/>
      </w:pPr>
      <w:r>
        <w:t xml:space="preserve">7. Minimum site evidence pack</w:t>
      </w:r>
    </w:p>
    <w:p>
      <w:pPr>
        <w:pStyle w:val="FirstParagraph"/>
      </w:pPr>
      <w:r>
        <w:t xml:space="preserve">Maintain, at a minimum: approved drainage/dewatering/utility/environmental documents; local emergency contacts; flood/flow-path plan; NCM and alert logs; pump inspection and runtime records; discharge/turbidity/sampling records; electrical isolation/test/re-energisation certificates; excavation, temporary-works, crane and scaffold post-event release records; accommodation/potable-water/sewage checks; waste manifests; photos; authority/insurer notices; and an after-action tracker. These records are both a safety control and the most reliable basis for regulator, client and claims discussions. [F14; DB2; EN3; EV3]</w:t>
      </w:r>
    </w:p>
    <w:p>
      <w:r>
        <w:pict>
          <v:rect style="width:0;height:1.5pt" o:hralign="center" o:hrstd="t" o:hr="t"/>
        </w:pict>
      </w:r>
    </w:p>
    <w:p>
      <w:pPr>
        <w:pStyle w:val="FirstParagraph"/>
      </w:pPr>
      <w:r>
        <w:rPr>
          <w:b/>
          <w:bCs/>
        </w:rPr>
        <w:t xml:space="preserve">Document control:</w:t>
      </w:r>
      <w:r>
        <w:t xml:space="preserve"> </w:t>
      </w:r>
      <w:r>
        <w:t xml:space="preserve">Consolidated from the 11 supplied research reports. Source status and limitations are stated above. Revalidate live notices, permit conditions, controlled document editions and emergency numbers before each wet season and each event.</w:t>
      </w:r>
    </w:p>
    <w:bookmarkEnd w:id="120"/>
    <w:bookmarkEnd w:id="1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77" Target="https://data.ajman.ae/pages/wasteandstatisticsv2/" TargetMode="External" /><Relationship Type="http://schemas.openxmlformats.org/officeDocument/2006/relationships/hyperlink" Id="rId60" Target="https://dcd.gov.ae/portal/preventive-safety/uae-fire-and-life-safety-code-of-practice.jsp" TargetMode="External" /><Relationship Type="http://schemas.openxmlformats.org/officeDocument/2006/relationships/hyperlink" Id="rId56" Target="https://dda.gov.ae/en/planning-development/construction/permits-nocs/dewatering-noc" TargetMode="External" /><Relationship Type="http://schemas.openxmlformats.org/officeDocument/2006/relationships/hyperlink" Id="rId59" Target="https://dewa.gov.ae/en/builder/useful-tools/dewa-circulars" TargetMode="External" /><Relationship Type="http://schemas.openxmlformats.org/officeDocument/2006/relationships/hyperlink" Id="rId112" Target="https://dlp.dubai.gov.ae/Legislation%20Reference/2002/Local%20Order%20No.%20(8)%20of%202002%20Concerning%20Sewerage,%20Irrigation,%20and%20Water.html" TargetMode="External" /><Relationship Type="http://schemas.openxmlformats.org/officeDocument/2006/relationships/hyperlink" Id="rId113" Target="https://dmpmedia.dm.gov.ae/uploads/2020/11/GreenBuildingRegulationsandSpeci-2.pdf" TargetMode="External" /><Relationship Type="http://schemas.openxmlformats.org/officeDocument/2006/relationships/hyperlink" Id="rId61" Target="https://dmpmedia.dm.gov.ae/uploads/2021/12/Dubai%20Building%20Code_English%202021%20Edition_compressed.pdf" TargetMode="External" /><Relationship Type="http://schemas.openxmlformats.org/officeDocument/2006/relationships/hyperlink" Id="rId55" Target="https://dmpmedia.dm.gov.ae/uploads/2024/05/1.-Guidance-on-the-Environmental-Clearance-EC-Requirements-for-Development-Infrastructure-Industrial-Projects-in-the-Emirate-of-Dubai.pdf" TargetMode="External" /><Relationship Type="http://schemas.openxmlformats.org/officeDocument/2006/relationships/hyperlink" Id="rId70" Target="https://ec.shj.ae/en/government-service-details?serviceId=5308133a36845e9dc9d24976e63fc790e67ba95cb6ef6fc504b716c4c75304fdd5bd7fe86c8653631a331c28208a458f" TargetMode="External" /><Relationship Type="http://schemas.openxmlformats.org/officeDocument/2006/relationships/hyperlink" Id="rId69" Target="https://epaashj.ae/" TargetMode="External" /><Relationship Type="http://schemas.openxmlformats.org/officeDocument/2006/relationships/hyperlink" Id="rId89" Target="https://epda.rak.ae/home/laws-and-decrees/" TargetMode="External" /><Relationship Type="http://schemas.openxmlformats.org/officeDocument/2006/relationships/hyperlink" Id="rId76" Target="https://etihadwe.ae/en/Services/eServices/Pages/Electricity-Water-Emergency-Service.aspx" TargetMode="External" /><Relationship Type="http://schemas.openxmlformats.org/officeDocument/2006/relationships/hyperlink" Id="rId98" Target="https://freezone.fujairah.ae/en" TargetMode="External" /><Relationship Type="http://schemas.openxmlformats.org/officeDocument/2006/relationships/hyperlink" Id="rId95" Target="https://fujairah.ncm.ae/" TargetMode="External" /><Relationship Type="http://schemas.openxmlformats.org/officeDocument/2006/relationships/hyperlink" Id="rId99" Target="https://fujairahport.ae/wp-content/uploads/2021/04/NTM-148-Verson-6.pdf" TargetMode="External" /><Relationship Type="http://schemas.openxmlformats.org/officeDocument/2006/relationships/hyperlink" Id="rId68" Target="https://hfza.ae/wp-content/uploads/2020/09/HFZA_EEHS_Investors_Information_Kit.pdf" TargetMode="External" /><Relationship Type="http://schemas.openxmlformats.org/officeDocument/2006/relationships/hyperlink" Id="rId40" Target="https://mediaoffice.ae/en/news/2024/april/24-04/mohammed-bin-rashid-chairs-cabinet-meeting" TargetMode="External" /><Relationship Type="http://schemas.openxmlformats.org/officeDocument/2006/relationships/hyperlink" Id="rId42" Target="https://mediaoffice.ae/en/news/2025/april/13-04/dubai-municipality-awards-new-stormwater-drainage-project-contracts" TargetMode="External" /><Relationship Type="http://schemas.openxmlformats.org/officeDocument/2006/relationships/hyperlink" Id="rId24" Target="https://mobile.ncm.gov.ae/maps-weather-forecast?lang=en" TargetMode="External" /><Relationship Type="http://schemas.openxmlformats.org/officeDocument/2006/relationships/hyperlink" Id="rId30" Target="https://mohre.gov.ae/assets/download/ea85b46b/Cabinet%20Resolution%20_Executive%20Regulations%20Decree-Law%20No.%2033.pdf.aspx" TargetMode="External" /><Relationship Type="http://schemas.openxmlformats.org/officeDocument/2006/relationships/hyperlink" Id="rId29" Target="https://mohre.gov.ae/en/media-center/news/8/3/2024/mohre-urges-private-companies-to-take-caution-necessary-measures-during-exceptional-weather-conditio" TargetMode="External" /><Relationship Type="http://schemas.openxmlformats.org/officeDocument/2006/relationships/hyperlink" Id="rId57" Target="https://pcfc.ae/en/Pages/Trakhees-Rules-and-Regulations.aspx" TargetMode="External" /><Relationship Type="http://schemas.openxmlformats.org/officeDocument/2006/relationships/hyperlink" Id="rId94" Target="https://pwad.fujairah.ae/en/news/fujairah-to-get-77km-rainwater-drainage-network-2-new-tunnels-in-internal-road-project" TargetMode="External" /><Relationship Type="http://schemas.openxmlformats.org/officeDocument/2006/relationships/hyperlink" Id="rId90" Target="https://rakez.com/Upload/ManageDocument/hse_regulations_20220401165612.pdf" TargetMode="External" /><Relationship Type="http://schemas.openxmlformats.org/officeDocument/2006/relationships/hyperlink" Id="rId85" Target="https://sanad.mun.rak.ae/docs/en/building-regulation-arch" TargetMode="External" /><Relationship Type="http://schemas.openxmlformats.org/officeDocument/2006/relationships/hyperlink" Id="rId86" Target="https://sanad.mun.rak.ae/docs/en/services-card-english-temp-49" TargetMode="External" /><Relationship Type="http://schemas.openxmlformats.org/officeDocument/2006/relationships/hyperlink" Id="rId91" Target="https://sanad.mun.rak.ae/docs/en/sustainable-community-guidelines" TargetMode="External" /><Relationship Type="http://schemas.openxmlformats.org/officeDocument/2006/relationships/hyperlink" Id="rId87" Target="https://sanad.mun.rak.ae/docs/structural-regulations" TargetMode="External" /><Relationship Type="http://schemas.openxmlformats.org/officeDocument/2006/relationships/hyperlink" Id="rId66" Target="https://scda.shj.ae/en/about/about-us" TargetMode="External" /><Relationship Type="http://schemas.openxmlformats.org/officeDocument/2006/relationships/hyperlink" Id="rId116" Target="https://services.fea.gov.ae/customer/Site/ServiceDetail/15" TargetMode="External" /><Relationship Type="http://schemas.openxmlformats.org/officeDocument/2006/relationships/hyperlink" Id="rId97" Target="https://services.fea.gov.ae/customer/Site/ServiceDetail/6" TargetMode="External" /><Relationship Type="http://schemas.openxmlformats.org/officeDocument/2006/relationships/hyperlink" Id="rId103" Target="https://shop.theiet.org/code-of-practice-for-in-service-inspection-and-testing-of-electrical-equipment-5th-edition" TargetMode="External" /><Relationship Type="http://schemas.openxmlformats.org/officeDocument/2006/relationships/hyperlink" Id="rId65" Target="https://sssd.shj.ae/en/sos-numbers" TargetMode="External" /><Relationship Type="http://schemas.openxmlformats.org/officeDocument/2006/relationships/hyperlink" Id="rId31" Target="https://u.ae/en/information-and-services/jobs/Sector-of-employment/employment-in-the-private-sector/labour-accommodation" TargetMode="External" /><Relationship Type="http://schemas.openxmlformats.org/officeDocument/2006/relationships/hyperlink" Id="rId35" Target="https://u.ae/en/information-and-services/justice-safety-and-the-law/Safety/handling-emergencies" TargetMode="External" /><Relationship Type="http://schemas.openxmlformats.org/officeDocument/2006/relationships/hyperlink" Id="rId32" Target="https://uaelegislation.gov.ae/en/legislations/1146" TargetMode="External" /><Relationship Type="http://schemas.openxmlformats.org/officeDocument/2006/relationships/hyperlink" Id="rId34" Target="https://uaelegislation.gov.ae/en/legislations/1164/download" TargetMode="External" /><Relationship Type="http://schemas.openxmlformats.org/officeDocument/2006/relationships/hyperlink" Id="rId33" Target="https://uaelegislation.gov.ae/en/legislations/1456" TargetMode="External" /><Relationship Type="http://schemas.openxmlformats.org/officeDocument/2006/relationships/hyperlink" Id="rId28" Target="https://uaelegislation.gov.ae/en/legislations/2771/download" TargetMode="External" /><Relationship Type="http://schemas.openxmlformats.org/officeDocument/2006/relationships/hyperlink" Id="rId101" Target="https://webstore.iec.ch/en/publication/33784" TargetMode="External" /><Relationship Type="http://schemas.openxmlformats.org/officeDocument/2006/relationships/hyperlink" Id="rId115" Target="https://www.adafsa.gov.ae/CMS/Guidelines/292019.pdf" TargetMode="External" /><Relationship Type="http://schemas.openxmlformats.org/officeDocument/2006/relationships/hyperlink" Id="rId49" Target="https://www.adphc.gov.ae/-/media/Project/ADPHC/ADPHC/PDF/OSHAD-SF/Codes-of-Practise/15----Electrical-Safety--En.pdf" TargetMode="External" /><Relationship Type="http://schemas.openxmlformats.org/officeDocument/2006/relationships/hyperlink" Id="rId51" Target="https://www.adphc.gov.ae/-/media/Project/ADPHC/ADPHC/PDF/OSHAD-SF/Codes-of-Practise/2026/COP-340--Safe-Use-of-Lifting-Equipment-and-Lifting-Accessories-v41-English.pdf" TargetMode="External" /><Relationship Type="http://schemas.openxmlformats.org/officeDocument/2006/relationships/hyperlink" Id="rId50" Target="https://www.adphc.gov.ae/-/media/Project/ADPHC/ADPHC/PDF/OSHAD-SF/Codes-of-Practise/26---Scaffolding--Eng.pdf" TargetMode="External" /><Relationship Type="http://schemas.openxmlformats.org/officeDocument/2006/relationships/hyperlink" Id="rId48" Target="https://www.adphc.gov.ae/-/media/Project/ADPHC/ADPHC/PDF/OSHAD-SF/Codes-of-Practise/29---Excavation-Work--Eng.pdf" TargetMode="External" /><Relationship Type="http://schemas.openxmlformats.org/officeDocument/2006/relationships/hyperlink" Id="rId47" Target="https://www.adphc.gov.ae/en/Legislation/Code-of-Practices" TargetMode="External" /><Relationship Type="http://schemas.openxmlformats.org/officeDocument/2006/relationships/hyperlink" Id="rId78" Target="https://www.ajman.ae/en/servicecatalog/services/3273" TargetMode="External" /><Relationship Type="http://schemas.openxmlformats.org/officeDocument/2006/relationships/hyperlink" Id="rId75" Target="https://www.am.gov.ae/en/emergency/" TargetMode="External" /><Relationship Type="http://schemas.openxmlformats.org/officeDocument/2006/relationships/hyperlink" Id="rId74" Target="https://www.am.gov.ae/en/services/building-permit-request/" TargetMode="External" /><Relationship Type="http://schemas.openxmlformats.org/officeDocument/2006/relationships/hyperlink" Id="rId71" Target="https://www.beeahgroup.com/services/waste-recycling-processing/" TargetMode="External" /><Relationship Type="http://schemas.openxmlformats.org/officeDocument/2006/relationships/hyperlink" Id="rId109" Target="https://www.ciria.org/CIRIA/News/CIRIA_news2/CIRIA_publishes_new_guidance_on_SuDS_construction.aspx" TargetMode="External" /><Relationship Type="http://schemas.openxmlformats.org/officeDocument/2006/relationships/hyperlink" Id="rId58" Target="https://www.dewa.gov.ae/en/consumer/useful-tools/waterproofing-electricity" TargetMode="External" /><Relationship Type="http://schemas.openxmlformats.org/officeDocument/2006/relationships/hyperlink" Id="rId44" Target="https://www.dm.gov.ae/dubai-municipality-teams-work-around-the-clock-to-manage-weather-impacts/" TargetMode="External" /><Relationship Type="http://schemas.openxmlformats.org/officeDocument/2006/relationships/hyperlink" Id="rId62" Target="https://www.dm.gov.ae/municipality-business/technical-guidelines-list/" TargetMode="External" /><Relationship Type="http://schemas.openxmlformats.org/officeDocument/2006/relationships/hyperlink" Id="rId54" Target="https://www.dm.gov.ae/public-utility-services-2/" TargetMode="External" /><Relationship Type="http://schemas.openxmlformats.org/officeDocument/2006/relationships/hyperlink" Id="rId46" Target="https://www.dmt.gov.ae/adm/-/media/Project/DMT/ADM/E-Library/Abu-Dhabi-Emirate-Guideline-for-Infrastructure-Services-Standards.pdf" TargetMode="External" /><Relationship Type="http://schemas.openxmlformats.org/officeDocument/2006/relationships/hyperlink" Id="rId43" Target="https://www.dmt.gov.ae/en/aam/Media-Centre/News/Al-Ain-Municipality-completes-the-Box-Culvert-Project-for-rainwater-drainage" TargetMode="External" /><Relationship Type="http://schemas.openxmlformats.org/officeDocument/2006/relationships/hyperlink" Id="rId114" Target="https://www.doe.gov.ae/-/media/Project/DOE/Department-Of-Energy/Media-Center-Publications/Water-Quality-Regulation-2025.pdf" TargetMode="External" /><Relationship Type="http://schemas.openxmlformats.org/officeDocument/2006/relationships/hyperlink" Id="rId52" Target="https://www.ead.gov.ae/-/media/Project/EAD/EAD/Documents/KnowledgeHub/Resources-and-Materials/EAD6735_MANGROVE-INITIATIVE-GUIDELINES_v10b.pdf" TargetMode="External" /><Relationship Type="http://schemas.openxmlformats.org/officeDocument/2006/relationships/hyperlink" Id="rId82" Target="https://www.etihadwe.ae/" TargetMode="External" /><Relationship Type="http://schemas.openxmlformats.org/officeDocument/2006/relationships/hyperlink" Id="rId96" Target="https://www.etihadwe.ae/en/Pages/default.aspx" TargetMode="External" /><Relationship Type="http://schemas.openxmlformats.org/officeDocument/2006/relationships/hyperlink" Id="rId93" Target="https://www.fujmun.gov.ae/default.aspx?lang=en" TargetMode="External" /><Relationship Type="http://schemas.openxmlformats.org/officeDocument/2006/relationships/hyperlink" Id="rId104" Target="https://www.hse.gov.uk/construction/safetytopics/excavations.htm" TargetMode="External" /><Relationship Type="http://schemas.openxmlformats.org/officeDocument/2006/relationships/hyperlink" Id="rId108" Target="https://www.hse.gov.uk/construction/safetytopics/lifting-operations.htm" TargetMode="External" /><Relationship Type="http://schemas.openxmlformats.org/officeDocument/2006/relationships/hyperlink" Id="rId102" Target="https://www.hse.gov.uk/pubns/books/hsg141.htm" TargetMode="External" /><Relationship Type="http://schemas.openxmlformats.org/officeDocument/2006/relationships/hyperlink" Id="rId107" Target="https://www.hse.gov.uk/pubns/books/l101.htm" TargetMode="External" /><Relationship Type="http://schemas.openxmlformats.org/officeDocument/2006/relationships/hyperlink" Id="rId110" Target="https://www.hse.gov.uk/work-at-height/introduction.htm" TargetMode="External" /><Relationship Type="http://schemas.openxmlformats.org/officeDocument/2006/relationships/hyperlink" Id="rId41" Target="https://www.mediaoffice.ae/en/news/2024/may/05-05/dubai-municipality-initiates-comprehensive-pest-control-strategies" TargetMode="External" /><Relationship Type="http://schemas.openxmlformats.org/officeDocument/2006/relationships/hyperlink" Id="rId36" Target="https://www.moei.gov.ae/en/media-center/news/9/5/2024/minister-of-energy-and-infrastructure-tours-rain-affected-areas-says-integrated-plan-is-in-place" TargetMode="External" /><Relationship Type="http://schemas.openxmlformats.org/officeDocument/2006/relationships/hyperlink" Id="rId83" Target="https://www.moet.gov.ae/en/-/al-sinniyah-island" TargetMode="External" /><Relationship Type="http://schemas.openxmlformats.org/officeDocument/2006/relationships/hyperlink" Id="rId37" Target="https://www.ncema.gov.ae/content/documents/BCM%20English%20NCEMA_29_8_2013.pdf" TargetMode="External" /><Relationship Type="http://schemas.openxmlformats.org/officeDocument/2006/relationships/hyperlink" Id="rId27" Target="https://www.ncema.gov.ae/content/documents/NCEMA%20Eng%20Daleel.pdf" TargetMode="External" /><Relationship Type="http://schemas.openxmlformats.org/officeDocument/2006/relationships/hyperlink" Id="rId25" Target="https://www.ncema.gov.ae/en/e-participation/blog/early-warning-system.aspx" TargetMode="External" /><Relationship Type="http://schemas.openxmlformats.org/officeDocument/2006/relationships/hyperlink" Id="rId26" Target="https://www.ncema.gov.ae/en/e-participation/blog/preventive-measures-to-avoid-the-risks-of-heavy-rain-lightning-and-thunderstorms.aspx" TargetMode="External" /><Relationship Type="http://schemas.openxmlformats.org/officeDocument/2006/relationships/hyperlink" Id="rId106" Target="https://www.osha.gov/laws-regs/regulations/standardnumber/1926/1926SubpartP" TargetMode="External" /><Relationship Type="http://schemas.openxmlformats.org/officeDocument/2006/relationships/hyperlink" Id="rId105" Target="https://www.osha.gov/sites/default/files/publications/OSHA2226.pdf" TargetMode="External" /><Relationship Type="http://schemas.openxmlformats.org/officeDocument/2006/relationships/hyperlink" Id="rId88" Target="https://www.rak.ae/wps/portal/rak/home/citizens/housing/facilitiesandmaintenance/publicservicesdepartment" TargetMode="External" /><Relationship Type="http://schemas.openxmlformats.org/officeDocument/2006/relationships/hyperlink" Id="rId67" Target="https://www.sewa.gov.ae/" TargetMode="External" /><Relationship Type="http://schemas.openxmlformats.org/officeDocument/2006/relationships/hyperlink" Id="rId64" Target="https://www.shjmun.gov.ae/PublicEServices/Serv6-Drainge/Default.aspx?Lang=AR-AE" TargetMode="External" /><Relationship Type="http://schemas.openxmlformats.org/officeDocument/2006/relationships/hyperlink" Id="rId81" Target="https://www.uaq.ae/ar/changeLanguage.html?fromPage=content/ContactUs.html&amp;ignore=&amp;languageCode=ar" TargetMode="External" /><Relationship Type="http://schemas.openxmlformats.org/officeDocument/2006/relationships/hyperlink" Id="rId80" Target="https://www.uaq.ae/ar/changeLanguage.html?fromPage=services/servicecatalog.html&amp;ignore=&amp;languageCode=ar" TargetMode="External" /><Relationship Type="http://schemas.openxmlformats.org/officeDocument/2006/relationships/hyperlink" Id="rId38" Target="https://www.wam.ae/en/article/13vbuq9-uae-witnesses-largest-rainfall-over-past-years" TargetMode="External" /><Relationship Type="http://schemas.openxmlformats.org/officeDocument/2006/relationships/hyperlink" Id="rId39" Target="https://www.wam.ae/en/article/b2vucl9-ministry-interior-ncema-detail-efforts-made-wake" TargetMode="External" /><Relationship Type="http://schemas.openxmlformats.org/officeDocument/2006/relationships/hyperlink" Id="rId72" Target="https://www.wam.ae/en/article/b4f7n21-sharjah-ruler-dissolves-sharjah-urban-planning" TargetMode="External" /></Relationships>
</file>

<file path=word/_rels/footnotes.xml.rels><?xml version="1.0" encoding="UTF-8"?><Relationships xmlns="http://schemas.openxmlformats.org/package/2006/relationships"><Relationship Type="http://schemas.openxmlformats.org/officeDocument/2006/relationships/hyperlink" Id="rId77" Target="https://data.ajman.ae/pages/wasteandstatisticsv2/" TargetMode="External" /><Relationship Type="http://schemas.openxmlformats.org/officeDocument/2006/relationships/hyperlink" Id="rId60" Target="https://dcd.gov.ae/portal/preventive-safety/uae-fire-and-life-safety-code-of-practice.jsp" TargetMode="External" /><Relationship Type="http://schemas.openxmlformats.org/officeDocument/2006/relationships/hyperlink" Id="rId56" Target="https://dda.gov.ae/en/planning-development/construction/permits-nocs/dewatering-noc" TargetMode="External" /><Relationship Type="http://schemas.openxmlformats.org/officeDocument/2006/relationships/hyperlink" Id="rId59" Target="https://dewa.gov.ae/en/builder/useful-tools/dewa-circulars" TargetMode="External" /><Relationship Type="http://schemas.openxmlformats.org/officeDocument/2006/relationships/hyperlink" Id="rId112" Target="https://dlp.dubai.gov.ae/Legislation%20Reference/2002/Local%20Order%20No.%20(8)%20of%202002%20Concerning%20Sewerage,%20Irrigation,%20and%20Water.html" TargetMode="External" /><Relationship Type="http://schemas.openxmlformats.org/officeDocument/2006/relationships/hyperlink" Id="rId113" Target="https://dmpmedia.dm.gov.ae/uploads/2020/11/GreenBuildingRegulationsandSpeci-2.pdf" TargetMode="External" /><Relationship Type="http://schemas.openxmlformats.org/officeDocument/2006/relationships/hyperlink" Id="rId61" Target="https://dmpmedia.dm.gov.ae/uploads/2021/12/Dubai%20Building%20Code_English%202021%20Edition_compressed.pdf" TargetMode="External" /><Relationship Type="http://schemas.openxmlformats.org/officeDocument/2006/relationships/hyperlink" Id="rId55" Target="https://dmpmedia.dm.gov.ae/uploads/2024/05/1.-Guidance-on-the-Environmental-Clearance-EC-Requirements-for-Development-Infrastructure-Industrial-Projects-in-the-Emirate-of-Dubai.pdf" TargetMode="External" /><Relationship Type="http://schemas.openxmlformats.org/officeDocument/2006/relationships/hyperlink" Id="rId70" Target="https://ec.shj.ae/en/government-service-details?serviceId=5308133a36845e9dc9d24976e63fc790e67ba95cb6ef6fc504b716c4c75304fdd5bd7fe86c8653631a331c28208a458f" TargetMode="External" /><Relationship Type="http://schemas.openxmlformats.org/officeDocument/2006/relationships/hyperlink" Id="rId69" Target="https://epaashj.ae/" TargetMode="External" /><Relationship Type="http://schemas.openxmlformats.org/officeDocument/2006/relationships/hyperlink" Id="rId89" Target="https://epda.rak.ae/home/laws-and-decrees/" TargetMode="External" /><Relationship Type="http://schemas.openxmlformats.org/officeDocument/2006/relationships/hyperlink" Id="rId76" Target="https://etihadwe.ae/en/Services/eServices/Pages/Electricity-Water-Emergency-Service.aspx" TargetMode="External" /><Relationship Type="http://schemas.openxmlformats.org/officeDocument/2006/relationships/hyperlink" Id="rId98" Target="https://freezone.fujairah.ae/en" TargetMode="External" /><Relationship Type="http://schemas.openxmlformats.org/officeDocument/2006/relationships/hyperlink" Id="rId95" Target="https://fujairah.ncm.ae/" TargetMode="External" /><Relationship Type="http://schemas.openxmlformats.org/officeDocument/2006/relationships/hyperlink" Id="rId99" Target="https://fujairahport.ae/wp-content/uploads/2021/04/NTM-148-Verson-6.pdf" TargetMode="External" /><Relationship Type="http://schemas.openxmlformats.org/officeDocument/2006/relationships/hyperlink" Id="rId68" Target="https://hfza.ae/wp-content/uploads/2020/09/HFZA_EEHS_Investors_Information_Kit.pdf" TargetMode="External" /><Relationship Type="http://schemas.openxmlformats.org/officeDocument/2006/relationships/hyperlink" Id="rId40" Target="https://mediaoffice.ae/en/news/2024/april/24-04/mohammed-bin-rashid-chairs-cabinet-meeting" TargetMode="External" /><Relationship Type="http://schemas.openxmlformats.org/officeDocument/2006/relationships/hyperlink" Id="rId42" Target="https://mediaoffice.ae/en/news/2025/april/13-04/dubai-municipality-awards-new-stormwater-drainage-project-contracts" TargetMode="External" /><Relationship Type="http://schemas.openxmlformats.org/officeDocument/2006/relationships/hyperlink" Id="rId24" Target="https://mobile.ncm.gov.ae/maps-weather-forecast?lang=en" TargetMode="External" /><Relationship Type="http://schemas.openxmlformats.org/officeDocument/2006/relationships/hyperlink" Id="rId30" Target="https://mohre.gov.ae/assets/download/ea85b46b/Cabinet%20Resolution%20_Executive%20Regulations%20Decree-Law%20No.%2033.pdf.aspx" TargetMode="External" /><Relationship Type="http://schemas.openxmlformats.org/officeDocument/2006/relationships/hyperlink" Id="rId29" Target="https://mohre.gov.ae/en/media-center/news/8/3/2024/mohre-urges-private-companies-to-take-caution-necessary-measures-during-exceptional-weather-conditio" TargetMode="External" /><Relationship Type="http://schemas.openxmlformats.org/officeDocument/2006/relationships/hyperlink" Id="rId57" Target="https://pcfc.ae/en/Pages/Trakhees-Rules-and-Regulations.aspx" TargetMode="External" /><Relationship Type="http://schemas.openxmlformats.org/officeDocument/2006/relationships/hyperlink" Id="rId94" Target="https://pwad.fujairah.ae/en/news/fujairah-to-get-77km-rainwater-drainage-network-2-new-tunnels-in-internal-road-project" TargetMode="External" /><Relationship Type="http://schemas.openxmlformats.org/officeDocument/2006/relationships/hyperlink" Id="rId90" Target="https://rakez.com/Upload/ManageDocument/hse_regulations_20220401165612.pdf" TargetMode="External" /><Relationship Type="http://schemas.openxmlformats.org/officeDocument/2006/relationships/hyperlink" Id="rId85" Target="https://sanad.mun.rak.ae/docs/en/building-regulation-arch" TargetMode="External" /><Relationship Type="http://schemas.openxmlformats.org/officeDocument/2006/relationships/hyperlink" Id="rId86" Target="https://sanad.mun.rak.ae/docs/en/services-card-english-temp-49" TargetMode="External" /><Relationship Type="http://schemas.openxmlformats.org/officeDocument/2006/relationships/hyperlink" Id="rId91" Target="https://sanad.mun.rak.ae/docs/en/sustainable-community-guidelines" TargetMode="External" /><Relationship Type="http://schemas.openxmlformats.org/officeDocument/2006/relationships/hyperlink" Id="rId87" Target="https://sanad.mun.rak.ae/docs/structural-regulations" TargetMode="External" /><Relationship Type="http://schemas.openxmlformats.org/officeDocument/2006/relationships/hyperlink" Id="rId66" Target="https://scda.shj.ae/en/about/about-us" TargetMode="External" /><Relationship Type="http://schemas.openxmlformats.org/officeDocument/2006/relationships/hyperlink" Id="rId116" Target="https://services.fea.gov.ae/customer/Site/ServiceDetail/15" TargetMode="External" /><Relationship Type="http://schemas.openxmlformats.org/officeDocument/2006/relationships/hyperlink" Id="rId97" Target="https://services.fea.gov.ae/customer/Site/ServiceDetail/6" TargetMode="External" /><Relationship Type="http://schemas.openxmlformats.org/officeDocument/2006/relationships/hyperlink" Id="rId103" Target="https://shop.theiet.org/code-of-practice-for-in-service-inspection-and-testing-of-electrical-equipment-5th-edition" TargetMode="External" /><Relationship Type="http://schemas.openxmlformats.org/officeDocument/2006/relationships/hyperlink" Id="rId65" Target="https://sssd.shj.ae/en/sos-numbers" TargetMode="External" /><Relationship Type="http://schemas.openxmlformats.org/officeDocument/2006/relationships/hyperlink" Id="rId31" Target="https://u.ae/en/information-and-services/jobs/Sector-of-employment/employment-in-the-private-sector/labour-accommodation" TargetMode="External" /><Relationship Type="http://schemas.openxmlformats.org/officeDocument/2006/relationships/hyperlink" Id="rId35" Target="https://u.ae/en/information-and-services/justice-safety-and-the-law/Safety/handling-emergencies" TargetMode="External" /><Relationship Type="http://schemas.openxmlformats.org/officeDocument/2006/relationships/hyperlink" Id="rId32" Target="https://uaelegislation.gov.ae/en/legislations/1146" TargetMode="External" /><Relationship Type="http://schemas.openxmlformats.org/officeDocument/2006/relationships/hyperlink" Id="rId34" Target="https://uaelegislation.gov.ae/en/legislations/1164/download" TargetMode="External" /><Relationship Type="http://schemas.openxmlformats.org/officeDocument/2006/relationships/hyperlink" Id="rId33" Target="https://uaelegislation.gov.ae/en/legislations/1456" TargetMode="External" /><Relationship Type="http://schemas.openxmlformats.org/officeDocument/2006/relationships/hyperlink" Id="rId28" Target="https://uaelegislation.gov.ae/en/legislations/2771/download" TargetMode="External" /><Relationship Type="http://schemas.openxmlformats.org/officeDocument/2006/relationships/hyperlink" Id="rId101" Target="https://webstore.iec.ch/en/publication/33784" TargetMode="External" /><Relationship Type="http://schemas.openxmlformats.org/officeDocument/2006/relationships/hyperlink" Id="rId115" Target="https://www.adafsa.gov.ae/CMS/Guidelines/292019.pdf" TargetMode="External" /><Relationship Type="http://schemas.openxmlformats.org/officeDocument/2006/relationships/hyperlink" Id="rId49" Target="https://www.adphc.gov.ae/-/media/Project/ADPHC/ADPHC/PDF/OSHAD-SF/Codes-of-Practise/15----Electrical-Safety--En.pdf" TargetMode="External" /><Relationship Type="http://schemas.openxmlformats.org/officeDocument/2006/relationships/hyperlink" Id="rId51" Target="https://www.adphc.gov.ae/-/media/Project/ADPHC/ADPHC/PDF/OSHAD-SF/Codes-of-Practise/2026/COP-340--Safe-Use-of-Lifting-Equipment-and-Lifting-Accessories-v41-English.pdf" TargetMode="External" /><Relationship Type="http://schemas.openxmlformats.org/officeDocument/2006/relationships/hyperlink" Id="rId50" Target="https://www.adphc.gov.ae/-/media/Project/ADPHC/ADPHC/PDF/OSHAD-SF/Codes-of-Practise/26---Scaffolding--Eng.pdf" TargetMode="External" /><Relationship Type="http://schemas.openxmlformats.org/officeDocument/2006/relationships/hyperlink" Id="rId48" Target="https://www.adphc.gov.ae/-/media/Project/ADPHC/ADPHC/PDF/OSHAD-SF/Codes-of-Practise/29---Excavation-Work--Eng.pdf" TargetMode="External" /><Relationship Type="http://schemas.openxmlformats.org/officeDocument/2006/relationships/hyperlink" Id="rId47" Target="https://www.adphc.gov.ae/en/Legislation/Code-of-Practices" TargetMode="External" /><Relationship Type="http://schemas.openxmlformats.org/officeDocument/2006/relationships/hyperlink" Id="rId78" Target="https://www.ajman.ae/en/servicecatalog/services/3273" TargetMode="External" /><Relationship Type="http://schemas.openxmlformats.org/officeDocument/2006/relationships/hyperlink" Id="rId75" Target="https://www.am.gov.ae/en/emergency/" TargetMode="External" /><Relationship Type="http://schemas.openxmlformats.org/officeDocument/2006/relationships/hyperlink" Id="rId74" Target="https://www.am.gov.ae/en/services/building-permit-request/" TargetMode="External" /><Relationship Type="http://schemas.openxmlformats.org/officeDocument/2006/relationships/hyperlink" Id="rId71" Target="https://www.beeahgroup.com/services/waste-recycling-processing/" TargetMode="External" /><Relationship Type="http://schemas.openxmlformats.org/officeDocument/2006/relationships/hyperlink" Id="rId109" Target="https://www.ciria.org/CIRIA/News/CIRIA_news2/CIRIA_publishes_new_guidance_on_SuDS_construction.aspx" TargetMode="External" /><Relationship Type="http://schemas.openxmlformats.org/officeDocument/2006/relationships/hyperlink" Id="rId58" Target="https://www.dewa.gov.ae/en/consumer/useful-tools/waterproofing-electricity" TargetMode="External" /><Relationship Type="http://schemas.openxmlformats.org/officeDocument/2006/relationships/hyperlink" Id="rId44" Target="https://www.dm.gov.ae/dubai-municipality-teams-work-around-the-clock-to-manage-weather-impacts/" TargetMode="External" /><Relationship Type="http://schemas.openxmlformats.org/officeDocument/2006/relationships/hyperlink" Id="rId62" Target="https://www.dm.gov.ae/municipality-business/technical-guidelines-list/" TargetMode="External" /><Relationship Type="http://schemas.openxmlformats.org/officeDocument/2006/relationships/hyperlink" Id="rId54" Target="https://www.dm.gov.ae/public-utility-services-2/" TargetMode="External" /><Relationship Type="http://schemas.openxmlformats.org/officeDocument/2006/relationships/hyperlink" Id="rId46" Target="https://www.dmt.gov.ae/adm/-/media/Project/DMT/ADM/E-Library/Abu-Dhabi-Emirate-Guideline-for-Infrastructure-Services-Standards.pdf" TargetMode="External" /><Relationship Type="http://schemas.openxmlformats.org/officeDocument/2006/relationships/hyperlink" Id="rId43" Target="https://www.dmt.gov.ae/en/aam/Media-Centre/News/Al-Ain-Municipality-completes-the-Box-Culvert-Project-for-rainwater-drainage" TargetMode="External" /><Relationship Type="http://schemas.openxmlformats.org/officeDocument/2006/relationships/hyperlink" Id="rId114" Target="https://www.doe.gov.ae/-/media/Project/DOE/Department-Of-Energy/Media-Center-Publications/Water-Quality-Regulation-2025.pdf" TargetMode="External" /><Relationship Type="http://schemas.openxmlformats.org/officeDocument/2006/relationships/hyperlink" Id="rId52" Target="https://www.ead.gov.ae/-/media/Project/EAD/EAD/Documents/KnowledgeHub/Resources-and-Materials/EAD6735_MANGROVE-INITIATIVE-GUIDELINES_v10b.pdf" TargetMode="External" /><Relationship Type="http://schemas.openxmlformats.org/officeDocument/2006/relationships/hyperlink" Id="rId82" Target="https://www.etihadwe.ae/" TargetMode="External" /><Relationship Type="http://schemas.openxmlformats.org/officeDocument/2006/relationships/hyperlink" Id="rId96" Target="https://www.etihadwe.ae/en/Pages/default.aspx" TargetMode="External" /><Relationship Type="http://schemas.openxmlformats.org/officeDocument/2006/relationships/hyperlink" Id="rId93" Target="https://www.fujmun.gov.ae/default.aspx?lang=en" TargetMode="External" /><Relationship Type="http://schemas.openxmlformats.org/officeDocument/2006/relationships/hyperlink" Id="rId104" Target="https://www.hse.gov.uk/construction/safetytopics/excavations.htm" TargetMode="External" /><Relationship Type="http://schemas.openxmlformats.org/officeDocument/2006/relationships/hyperlink" Id="rId108" Target="https://www.hse.gov.uk/construction/safetytopics/lifting-operations.htm" TargetMode="External" /><Relationship Type="http://schemas.openxmlformats.org/officeDocument/2006/relationships/hyperlink" Id="rId102" Target="https://www.hse.gov.uk/pubns/books/hsg141.htm" TargetMode="External" /><Relationship Type="http://schemas.openxmlformats.org/officeDocument/2006/relationships/hyperlink" Id="rId107" Target="https://www.hse.gov.uk/pubns/books/l101.htm" TargetMode="External" /><Relationship Type="http://schemas.openxmlformats.org/officeDocument/2006/relationships/hyperlink" Id="rId110" Target="https://www.hse.gov.uk/work-at-height/introduction.htm" TargetMode="External" /><Relationship Type="http://schemas.openxmlformats.org/officeDocument/2006/relationships/hyperlink" Id="rId41" Target="https://www.mediaoffice.ae/en/news/2024/may/05-05/dubai-municipality-initiates-comprehensive-pest-control-strategies" TargetMode="External" /><Relationship Type="http://schemas.openxmlformats.org/officeDocument/2006/relationships/hyperlink" Id="rId36" Target="https://www.moei.gov.ae/en/media-center/news/9/5/2024/minister-of-energy-and-infrastructure-tours-rain-affected-areas-says-integrated-plan-is-in-place" TargetMode="External" /><Relationship Type="http://schemas.openxmlformats.org/officeDocument/2006/relationships/hyperlink" Id="rId83" Target="https://www.moet.gov.ae/en/-/al-sinniyah-island" TargetMode="External" /><Relationship Type="http://schemas.openxmlformats.org/officeDocument/2006/relationships/hyperlink" Id="rId37" Target="https://www.ncema.gov.ae/content/documents/BCM%20English%20NCEMA_29_8_2013.pdf" TargetMode="External" /><Relationship Type="http://schemas.openxmlformats.org/officeDocument/2006/relationships/hyperlink" Id="rId27" Target="https://www.ncema.gov.ae/content/documents/NCEMA%20Eng%20Daleel.pdf" TargetMode="External" /><Relationship Type="http://schemas.openxmlformats.org/officeDocument/2006/relationships/hyperlink" Id="rId25" Target="https://www.ncema.gov.ae/en/e-participation/blog/early-warning-system.aspx" TargetMode="External" /><Relationship Type="http://schemas.openxmlformats.org/officeDocument/2006/relationships/hyperlink" Id="rId26" Target="https://www.ncema.gov.ae/en/e-participation/blog/preventive-measures-to-avoid-the-risks-of-heavy-rain-lightning-and-thunderstorms.aspx" TargetMode="External" /><Relationship Type="http://schemas.openxmlformats.org/officeDocument/2006/relationships/hyperlink" Id="rId106" Target="https://www.osha.gov/laws-regs/regulations/standardnumber/1926/1926SubpartP" TargetMode="External" /><Relationship Type="http://schemas.openxmlformats.org/officeDocument/2006/relationships/hyperlink" Id="rId105" Target="https://www.osha.gov/sites/default/files/publications/OSHA2226.pdf" TargetMode="External" /><Relationship Type="http://schemas.openxmlformats.org/officeDocument/2006/relationships/hyperlink" Id="rId88" Target="https://www.rak.ae/wps/portal/rak/home/citizens/housing/facilitiesandmaintenance/publicservicesdepartment" TargetMode="External" /><Relationship Type="http://schemas.openxmlformats.org/officeDocument/2006/relationships/hyperlink" Id="rId67" Target="https://www.sewa.gov.ae/" TargetMode="External" /><Relationship Type="http://schemas.openxmlformats.org/officeDocument/2006/relationships/hyperlink" Id="rId64" Target="https://www.shjmun.gov.ae/PublicEServices/Serv6-Drainge/Default.aspx?Lang=AR-AE" TargetMode="External" /><Relationship Type="http://schemas.openxmlformats.org/officeDocument/2006/relationships/hyperlink" Id="rId81" Target="https://www.uaq.ae/ar/changeLanguage.html?fromPage=content/ContactUs.html&amp;ignore=&amp;languageCode=ar" TargetMode="External" /><Relationship Type="http://schemas.openxmlformats.org/officeDocument/2006/relationships/hyperlink" Id="rId80" Target="https://www.uaq.ae/ar/changeLanguage.html?fromPage=services/servicecatalog.html&amp;ignore=&amp;languageCode=ar" TargetMode="External" /><Relationship Type="http://schemas.openxmlformats.org/officeDocument/2006/relationships/hyperlink" Id="rId38" Target="https://www.wam.ae/en/article/13vbuq9-uae-witnesses-largest-rainfall-over-past-years" TargetMode="External" /><Relationship Type="http://schemas.openxmlformats.org/officeDocument/2006/relationships/hyperlink" Id="rId39" Target="https://www.wam.ae/en/article/b2vucl9-ministry-interior-ncema-detail-efforts-made-wake" TargetMode="External" /><Relationship Type="http://schemas.openxmlformats.org/officeDocument/2006/relationships/hyperlink" Id="rId72" Target="https://www.wam.ae/en/article/b4f7n21-sharjah-ruler-dissolves-sharjah-urban-plannin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2026-10-05T03:18:59Z</dcterms:created>
  <dcterms:modified xsi:type="dcterms:W3CDTF">2026-10-05T03:18:59Z</dcterms:modified>
</cp:coreProperties>
</file>

<file path=docProps/custom.xml><?xml version="1.0" encoding="utf-8"?>
<Properties xmlns="http://schemas.openxmlformats.org/officeDocument/2006/custom-properties" xmlns:vt="http://schemas.openxmlformats.org/officeDocument/2006/docPropsVTypes"/>
</file>