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48dd93886945452c" Type="http://schemas.openxmlformats.org/officeDocument/2006/relationships/officeDocument" Target="word/document.xml"/><Relationship Id="Rbc554fcba3d04d15" Type="http://schemas.openxmlformats.org/package/2006/relationships/metadata/core-properties" Target="docProps/core.xml"/><Relationship Id="Refb9bbbd125d486d" Type="http://schemas.openxmlformats.org/officeDocument/2006/relationships/extended-properties" Target="docProps/app.xml"/><Relationship Id="R465e705311204735" Type="http://schemas.openxmlformats.org/officeDocument/2006/relationships/custom-properties" Target="docProps/custom.xml"/></Relationships>
</file>

<file path=word/document.xml><?xml version="1.0" encoding="utf-8"?>
<w:document xmlns:r="http://schemas.openxmlformats.org/officeDocument/2006/relationships" xmlns:m="http://schemas.openxmlformats.org/officeDocument/2006/math" xmlns:v="urn:schemas-microsoft-com:vml" xmlns:o="urn:schemas-microsoft-com:office:office" xmlns:w10="urn:schemas-microsoft-com:office:word" xmlns:wne="http://schemas.microsoft.com/office/word/2006/wordml" xmlns:wp="http://schemas.openxmlformats.org/drawingml/2006/wordprocessingDrawing" xmlns:wp14="http://schemas.microsoft.com/office/word/2010/wordprocessingDrawing" xmlns:w14="http://schemas.microsoft.com/office/word/2010/wordml" xmlns:a="http://schemas.openxmlformats.org/drawingml/2006/main" xmlns:pic="http://schemas.openxmlformats.org/drawingml/2006/picture" xmlns:wps="http://schemas.microsoft.com/office/word/2010/wordprocessingShape" xmlns:wpg="http://schemas.microsoft.com/office/word/2010/wordprocessingGroup" xmlns:wpi="http://schemas.microsoft.com/office/word/2010/wordprocessingInk" xmlns:wpc="http://schemas.microsoft.com/office/word/2010/wordprocessingCanvas" xmlns:w15="http://schemas.microsoft.com/office/word/2012/wordml" xmlns:mc="http://schemas.openxmlformats.org/markup-compatibility/2006" xmlns:w="http://schemas.openxmlformats.org/wordprocessingml/2006/main" mc:Ignorable="w14 w15 wp14">
  <w:body>
    <w:p w14:paraId="00100000" w14:textId="00100001">
      <w:pPr>
        <w:shd w:val="clear" w:fill="005A4B"/>
        <w:spacing w:before="0" w:after="0"/>
      </w:pPr>
      <w:r>
        <w:rPr>
          <w:sz w:val="52"/>
        </w:rPr>
        <w:t xml:space="preserve"> </w:t>
      </w:r>
    </w:p>
    <w:p w14:paraId="00100002" w14:textId="00100003">
      <w:pPr>
        <w:shd w:val="clear" w:fill="559187"/>
        <w:spacing w:before="0" w:after="480"/>
      </w:pPr>
      <w:r>
        <w:rPr>
          <w:sz w:val="8"/>
        </w:rPr>
        <w:t xml:space="preserve"> </w:t>
      </w:r>
      <w:r>
        <w:drawing>
          <wp:inline distT="0" distB="0" distL="0" distR="0">
            <wp:extent cx="584200" cy="584200"/>
            <wp:effectExtent l="0" t="0" r="0" b="0"/>
            <wp:docPr id="1" name="Site Safety UAE logo" descr="Site Safety UAE logo"/>
            <wp:cNvGraphicFramePr>
              <a:graphicFrameLocks noChangeAspect="1"/>
            </wp:cNvGraphicFramePr>
            <a:graphic>
              <a:graphicData uri="http://schemas.openxmlformats.org/drawingml/2006/picture">
                <pic:pic>
                  <pic:nvPicPr>
                    <pic:cNvPr id="1" name="Site Safety UAE logo"/>
                    <pic:cNvPicPr/>
                  </pic:nvPicPr>
                  <pic:blipFill>
                    <a:blip r:embed="R5025badbb61d4f26" cstate="print"/>
                    <a:stretch>
                      <a:fillRect/>
                    </a:stretch>
                  </pic:blipFill>
                  <pic:spPr>
                    <a:xfrm>
                      <a:off x="0" y="0"/>
                      <a:ext cx="584200" cy="584200"/>
                    </a:xfrm>
                    <a:prstGeom prst="rect">
                      <a:avLst/>
                    </a:prstGeom>
                  </pic:spPr>
                </pic:pic>
              </a:graphicData>
            </a:graphic>
          </wp:inline>
        </w:drawing>
      </w:r>
    </w:p>
    <w:p w14:paraId="00100004" w14:textId="00100005">
      <w:pPr>
        <w:spacing w:before="0" w:after="160"/>
        <w:jc w:val="left"/>
      </w:pPr>
      <w:r>
        <w:rPr>
          <w:sz w:val="4"/>
        </w:rPr>
        <w:t xml:space="preserve"> </w:t>
      </w:r>
    </w:p>
    <w:p w14:paraId="00100006" w14:textId="00100007">
      <w:pPr>
        <w:spacing w:before="0" w:after="80"/>
        <w:jc w:val="left"/>
      </w:pPr>
      <w:r>
        <w:rPr>
          <w:rFonts w:ascii="Calibri" w:hAnsi="Calibri" w:eastAsia="Calibri"/>
          <w:b/>
          <w:caps/>
          <w:color w:val="C3A04B"/>
          <w:sz w:val="17"/>
        </w:rPr>
        <w:t xml:space="preserve">Evaluation Agreement · Ref SSUAE-EVAL-YYYY-###</w:t>
      </w:r>
    </w:p>
    <w:p w14:paraId="00100008" w14:textId="00100009">
      <w:pPr>
        <w:spacing w:before="0" w:after="60" w:line="240" w:lineRule="auto"/>
        <w:jc w:val="left"/>
      </w:pPr>
      <w:r>
        <w:rPr>
          <w:rFonts w:ascii="Calibri" w:hAnsi="Calibri" w:eastAsia="Calibri"/>
          <w:b/>
          <w:color w:val="005A4B"/>
          <w:sz w:val="50"/>
        </w:rPr>
        <w:t xml:space="preserve">Enterprise Software Evaluation Agreement</w:t>
      </w:r>
    </w:p>
    <w:p w14:paraId="0010000A" w14:textId="0010000B">
      <w:pPr>
        <w:spacing w:after="200" w:line="240" w:lineRule="auto"/>
        <w:jc w:val="left"/>
      </w:pPr>
      <w:r>
        <w:rPr>
          <w:rFonts w:ascii="Calibri" w:hAnsi="Calibri" w:eastAsia="Calibri"/>
          <w:b/>
          <w:color w:val="559187"/>
          <w:sz w:val="27"/>
        </w:rPr>
        <w:t xml:space="preserve">and Service Level Agreement</w:t>
      </w:r>
    </w:p>
    <w:p w14:paraId="0010000C" w14:textId="0010000D">
      <w:pPr>
        <w:spacing w:after="280"/>
        <w:jc w:val="left"/>
      </w:pPr>
      <w:r>
        <w:rPr>
          <w:rFonts w:ascii="Calibri" w:hAnsi="Calibri" w:eastAsia="Calibri"/>
          <w:i/>
          <w:color w:val="6B6B66"/>
          <w:sz w:val="21"/>
        </w:rPr>
        <w:t xml:space="preserve">Terms for evaluating the Site Safety UAE HSE Operations Dashboard on an Enterprise workspace, including availability, support and data protection commitments.</w:t>
      </w:r>
    </w:p>
    <w:p w14:paraId="0010000E" w14:textId="0010000F">
      <w:pPr>
        <w:shd w:val="clear" w:fill="EBDCC3"/>
        <w:spacing w:before="40" w:after="0"/>
      </w:pPr>
      <w:r>
        <w:rPr>
          <w:sz w:val="4"/>
        </w:rPr>
        <w:t xml:space="preserve"> </w:t>
      </w:r>
    </w:p>
    <w:p w14:paraId="00100010" w14:textId="00100011">
      <w:pPr>
        <w:shd w:val="clear" w:fill="C3A04B"/>
        <w:spacing w:before="0" w:after="360"/>
      </w:pPr>
      <w:r>
        <w:rPr>
          <w:sz w:val="4"/>
        </w:rPr>
        <w:t xml:space="preserve"> </w:t>
      </w:r>
    </w:p>
    <w:tbl>
      <w:tblPr>
        <w:tblW w:w="5000" w:type="pct"/>
        <w:tblBorders>
          <w:top w:val="single" w:color="DCDCDC" w:sz="4"/>
          <w:left w:val="single" w:color="DCDCDC" w:sz="4"/>
          <w:bottom w:val="single" w:color="DCDCDC" w:sz="4"/>
          <w:right w:val="single" w:color="DCDCDC" w:sz="4"/>
          <w:insideH w:val="single" w:color="DCDCDC" w:sz="4"/>
          <w:insideV w:val="none" w:sz="4"/>
        </w:tblBorders>
      </w:tblPr>
      <w:tblGrid>
        <w:gridCol w:w="2400"/>
        <w:gridCol w:w="6672"/>
      </w:tblGrid>
      <w:tr>
        <w:trPr/>
        <w:tc>
          <w:tcPr>
            <w:shd w:val="clear" w:fill="F7F7F7"/>
            <w:tcMar>
              <w:top w:w="60" w:type="dxa"/>
              <w:left w:w="110" w:type="dxa"/>
              <w:bottom w:w="60" w:type="dxa"/>
              <w:right w:w="110" w:type="dxa"/>
            </w:tcMar>
            <w:vAlign w:val="top"/>
          </w:tcPr>
          <w:p w14:paraId="00100012" w14:textId="00100013">
            <w:pPr>
              <w:rPr>
                <w:b w:val="false"/>
                <w:caps/>
                <w:color w:val="005A4B"/>
                <w:sz w:val="17"/>
              </w:rPr>
            </w:pPr>
          </w:p>
        </w:tc>
        <w:tc>
          <w:tcPr>
            <w:tcMar>
              <w:top w:w="60" w:type="dxa"/>
              <w:left w:w="110" w:type="dxa"/>
              <w:bottom w:w="60" w:type="dxa"/>
              <w:right w:w="110" w:type="dxa"/>
            </w:tcMar>
            <w:vAlign w:val="top"/>
          </w:tcPr>
          <w:p w14:paraId="00100014" w14:textId="00100015">
            <w:pPr>
              <w:rPr>
                <w:sz w:val="19"/>
              </w:rPr>
            </w:pPr>
          </w:p>
        </w:tc>
      </w:tr>
      <w:tr>
        <w:trPr/>
        <w:tc>
          <w:tcPr>
            <w:shd w:val="clear" w:fill="F7F7F7"/>
            <w:tcMar>
              <w:top w:w="60" w:type="dxa"/>
              <w:left w:w="110" w:type="dxa"/>
              <w:bottom w:w="60" w:type="dxa"/>
              <w:right w:w="110" w:type="dxa"/>
            </w:tcMar>
            <w:vAlign w:val="top"/>
          </w:tcPr>
          <w:p w14:paraId="00100016" w14:textId="00100017">
            <w:r>
              <w:rPr>
                <w:b w:val="false"/>
                <w:caps/>
                <w:color w:val="005A4B"/>
                <w:sz w:val="17"/>
              </w:rPr>
              <w:t xml:space="preserve">Prepared for</w:t>
            </w:r>
          </w:p>
        </w:tc>
        <w:tc>
          <w:tcPr>
            <w:tcMar>
              <w:top w:w="60" w:type="dxa"/>
              <w:left w:w="110" w:type="dxa"/>
              <w:bottom w:w="60" w:type="dxa"/>
              <w:right w:w="110" w:type="dxa"/>
            </w:tcMar>
            <w:vAlign w:val="top"/>
          </w:tcPr>
          <w:p w14:paraId="00100018" w14:textId="00100019">
            <w:r>
              <w:rPr>
                <w:sz w:val="19"/>
              </w:rPr>
              <w:t xml:space="preserve">[Customer legal name]</w:t>
              <w:br/>
              <w:t xml:space="preserve">[legal form and jurisdiction]</w:t>
              <w:br/>
              <w:t xml:space="preserve">Registered address: [full registered address]</w:t>
              <w:br/>
              <w:t xml:space="preserve">Notice email: [name@company.com]</w:t>
            </w:r>
          </w:p>
        </w:tc>
      </w:tr>
      <w:tr>
        <w:trPr/>
        <w:tc>
          <w:tcPr>
            <w:shd w:val="clear" w:fill="F7F7F7"/>
            <w:tcMar>
              <w:top w:w="60" w:type="dxa"/>
              <w:left w:w="110" w:type="dxa"/>
              <w:bottom w:w="60" w:type="dxa"/>
              <w:right w:w="110" w:type="dxa"/>
            </w:tcMar>
            <w:vAlign w:val="top"/>
          </w:tcPr>
          <w:p w14:paraId="0010001A" w14:textId="0010001B">
            <w:r>
              <w:rPr>
                <w:b w:val="false"/>
                <w:caps/>
                <w:color w:val="005A4B"/>
                <w:sz w:val="17"/>
              </w:rPr>
              <w:t xml:space="preserve">Provided by</w:t>
            </w:r>
          </w:p>
        </w:tc>
        <w:tc>
          <w:tcPr>
            <w:tcMar>
              <w:top w:w="60" w:type="dxa"/>
              <w:left w:w="110" w:type="dxa"/>
              <w:bottom w:w="60" w:type="dxa"/>
              <w:right w:w="110" w:type="dxa"/>
            </w:tcMar>
            <w:vAlign w:val="top"/>
          </w:tcPr>
          <w:p w14:paraId="0010001C" w14:textId="0010001D">
            <w:r>
              <w:rPr>
                <w:sz w:val="19"/>
              </w:rPr>
              <w:t xml:space="preserve">Site Safety LLC (trading as Site Safety UAE)</w:t>
              <w:br/>
              <w:t xml:space="preserve">Dubai, United Arab Emirates</w:t>
              <w:br/>
              <w:t xml:space="preserve">info@sitesafetyuae.com</w:t>
            </w:r>
          </w:p>
        </w:tc>
      </w:tr>
      <w:tr>
        <w:trPr/>
        <w:tc>
          <w:tcPr>
            <w:shd w:val="clear" w:fill="F7F7F7"/>
            <w:tcMar>
              <w:top w:w="60" w:type="dxa"/>
              <w:left w:w="110" w:type="dxa"/>
              <w:bottom w:w="60" w:type="dxa"/>
              <w:right w:w="110" w:type="dxa"/>
            </w:tcMar>
            <w:vAlign w:val="top"/>
          </w:tcPr>
          <w:p w14:paraId="0010001E" w14:textId="0010001F">
            <w:r>
              <w:rPr>
                <w:b w:val="false"/>
                <w:caps/>
                <w:color w:val="005A4B"/>
                <w:sz w:val="17"/>
              </w:rPr>
              <w:t xml:space="preserve">Evaluation period</w:t>
            </w:r>
          </w:p>
        </w:tc>
        <w:tc>
          <w:tcPr>
            <w:tcMar>
              <w:top w:w="60" w:type="dxa"/>
              <w:left w:w="110" w:type="dxa"/>
              <w:bottom w:w="60" w:type="dxa"/>
              <w:right w:w="110" w:type="dxa"/>
            </w:tcMar>
            <w:vAlign w:val="top"/>
          </w:tcPr>
          <w:p w14:paraId="00100020" w14:textId="00100021">
            <w:r>
              <w:rPr>
                <w:sz w:val="19"/>
              </w:rPr>
              <w:t xml:space="preserve">[30] days from [DD Month YYYY] to [DD Month YYYY]</w:t>
            </w:r>
          </w:p>
        </w:tc>
      </w:tr>
      <w:tr>
        <w:trPr/>
        <w:tc>
          <w:tcPr>
            <w:shd w:val="clear" w:fill="F7F7F7"/>
            <w:tcMar>
              <w:top w:w="60" w:type="dxa"/>
              <w:left w:w="110" w:type="dxa"/>
              <w:bottom w:w="60" w:type="dxa"/>
              <w:right w:w="110" w:type="dxa"/>
            </w:tcMar>
            <w:vAlign w:val="top"/>
          </w:tcPr>
          <w:p w14:paraId="00100022" w14:textId="00100023">
            <w:r>
              <w:rPr>
                <w:b w:val="false"/>
                <w:caps/>
                <w:color w:val="005A4B"/>
                <w:sz w:val="17"/>
              </w:rPr>
              <w:t xml:space="preserve">Licence basis</w:t>
            </w:r>
          </w:p>
        </w:tc>
        <w:tc>
          <w:tcPr>
            <w:tcMar>
              <w:top w:w="60" w:type="dxa"/>
              <w:left w:w="110" w:type="dxa"/>
              <w:bottom w:w="60" w:type="dxa"/>
              <w:right w:w="110" w:type="dxa"/>
            </w:tcMar>
            <w:vAlign w:val="top"/>
          </w:tcPr>
          <w:p w14:paraId="00100024" w14:textId="00100025">
            <w:r>
              <w:rPr>
                <w:sz w:val="19"/>
              </w:rPr>
              <w:t xml:space="preserve">Enterprise — [number] project sites, [number] named users</w:t>
            </w:r>
          </w:p>
        </w:tc>
      </w:tr>
      <w:tr>
        <w:trPr/>
        <w:tc>
          <w:tcPr>
            <w:shd w:val="clear" w:fill="F7F7F7"/>
            <w:tcMar>
              <w:top w:w="60" w:type="dxa"/>
              <w:left w:w="110" w:type="dxa"/>
              <w:bottom w:w="60" w:type="dxa"/>
              <w:right w:w="110" w:type="dxa"/>
            </w:tcMar>
            <w:vAlign w:val="top"/>
          </w:tcPr>
          <w:p w14:paraId="00100026" w14:textId="00100027">
            <w:r>
              <w:rPr>
                <w:b w:val="false"/>
                <w:caps/>
                <w:color w:val="005A4B"/>
                <w:sz w:val="17"/>
              </w:rPr>
              <w:t xml:space="preserve">Support tier</w:t>
            </w:r>
          </w:p>
        </w:tc>
        <w:tc>
          <w:tcPr>
            <w:tcMar>
              <w:top w:w="60" w:type="dxa"/>
              <w:left w:w="110" w:type="dxa"/>
              <w:bottom w:w="60" w:type="dxa"/>
              <w:right w:w="110" w:type="dxa"/>
            </w:tcMar>
            <w:vAlign w:val="top"/>
          </w:tcPr>
          <w:p w14:paraId="00100028" w14:textId="00100029">
            <w:r>
              <w:rPr>
                <w:sz w:val="19"/>
              </w:rPr>
              <w:t xml:space="preserve">Enterprise — named account contact, 24–48 hour first response</w:t>
            </w:r>
          </w:p>
        </w:tc>
      </w:tr>
      <w:tr>
        <w:trPr/>
        <w:tc>
          <w:tcPr>
            <w:shd w:val="clear" w:fill="F7F7F7"/>
            <w:tcMar>
              <w:top w:w="60" w:type="dxa"/>
              <w:left w:w="110" w:type="dxa"/>
              <w:bottom w:w="60" w:type="dxa"/>
              <w:right w:w="110" w:type="dxa"/>
            </w:tcMar>
            <w:vAlign w:val="top"/>
          </w:tcPr>
          <w:p w14:paraId="0010002A" w14:textId="0010002B">
            <w:r>
              <w:rPr>
                <w:b w:val="false"/>
                <w:caps/>
                <w:color w:val="005A4B"/>
                <w:sz w:val="17"/>
              </w:rPr>
              <w:t xml:space="preserve">Availability</w:t>
            </w:r>
          </w:p>
        </w:tc>
        <w:tc>
          <w:tcPr>
            <w:tcMar>
              <w:top w:w="60" w:type="dxa"/>
              <w:left w:w="110" w:type="dxa"/>
              <w:bottom w:w="60" w:type="dxa"/>
              <w:right w:w="110" w:type="dxa"/>
            </w:tcMar>
            <w:vAlign w:val="top"/>
          </w:tcPr>
          <w:p w14:paraId="0010002C" w14:textId="0010002D">
            <w:r>
              <w:rPr>
                <w:sz w:val="19"/>
              </w:rPr>
              <w:t xml:space="preserve">99.9% monthly Uptime target (Schedule B)</w:t>
            </w:r>
          </w:p>
        </w:tc>
      </w:tr>
      <w:tr>
        <w:trPr/>
        <w:tc>
          <w:tcPr>
            <w:shd w:val="clear" w:fill="F7F7F7"/>
            <w:tcMar>
              <w:top w:w="60" w:type="dxa"/>
              <w:left w:w="110" w:type="dxa"/>
              <w:bottom w:w="60" w:type="dxa"/>
              <w:right w:w="110" w:type="dxa"/>
            </w:tcMar>
            <w:vAlign w:val="top"/>
          </w:tcPr>
          <w:p w14:paraId="0010002E" w14:textId="0010002F">
            <w:r>
              <w:rPr>
                <w:b w:val="false"/>
                <w:caps/>
                <w:color w:val="005A4B"/>
                <w:sz w:val="17"/>
              </w:rPr>
              <w:t xml:space="preserve">Fees during evaluation</w:t>
            </w:r>
          </w:p>
        </w:tc>
        <w:tc>
          <w:tcPr>
            <w:tcMar>
              <w:top w:w="60" w:type="dxa"/>
              <w:left w:w="110" w:type="dxa"/>
              <w:bottom w:w="60" w:type="dxa"/>
              <w:right w:w="110" w:type="dxa"/>
            </w:tcMar>
            <w:vAlign w:val="top"/>
          </w:tcPr>
          <w:p w14:paraId="00100030" w14:textId="00100031">
            <w:r>
              <w:rPr>
                <w:sz w:val="19"/>
              </w:rPr>
              <w:t xml:space="preserve">[Nil / USD ### per month]</w:t>
            </w:r>
          </w:p>
        </w:tc>
      </w:tr>
      <w:tr>
        <w:trPr/>
        <w:tc>
          <w:tcPr>
            <w:shd w:val="clear" w:fill="F7F7F7"/>
            <w:tcMar>
              <w:top w:w="60" w:type="dxa"/>
              <w:left w:w="110" w:type="dxa"/>
              <w:bottom w:w="60" w:type="dxa"/>
              <w:right w:w="110" w:type="dxa"/>
            </w:tcMar>
            <w:vAlign w:val="top"/>
          </w:tcPr>
          <w:p w14:paraId="00100032" w14:textId="00100033">
            <w:r>
              <w:rPr>
                <w:b w:val="false"/>
                <w:caps/>
                <w:color w:val="005A4B"/>
                <w:sz w:val="17"/>
              </w:rPr>
              <w:t xml:space="preserve">Governing law</w:t>
            </w:r>
          </w:p>
        </w:tc>
        <w:tc>
          <w:tcPr>
            <w:tcMar>
              <w:top w:w="60" w:type="dxa"/>
              <w:left w:w="110" w:type="dxa"/>
              <w:bottom w:w="60" w:type="dxa"/>
              <w:right w:w="110" w:type="dxa"/>
            </w:tcMar>
            <w:vAlign w:val="top"/>
          </w:tcPr>
          <w:p w14:paraId="00100034" w14:textId="00100035">
            <w:r>
              <w:rPr>
                <w:sz w:val="19"/>
              </w:rPr>
              <w:t xml:space="preserve">Laws of the United Arab Emirates</w:t>
            </w:r>
          </w:p>
        </w:tc>
      </w:tr>
      <w:tr>
        <w:trPr/>
        <w:tc>
          <w:tcPr>
            <w:shd w:val="clear" w:fill="F7F7F7"/>
            <w:tcMar>
              <w:top w:w="60" w:type="dxa"/>
              <w:left w:w="110" w:type="dxa"/>
              <w:bottom w:w="60" w:type="dxa"/>
              <w:right w:w="110" w:type="dxa"/>
            </w:tcMar>
            <w:vAlign w:val="top"/>
          </w:tcPr>
          <w:p w14:paraId="00100036" w14:textId="00100037">
            <w:r>
              <w:rPr>
                <w:b w:val="false"/>
                <w:caps/>
                <w:color w:val="005A4B"/>
                <w:sz w:val="17"/>
              </w:rPr>
              <w:t xml:space="preserve">Jurisdiction</w:t>
            </w:r>
          </w:p>
        </w:tc>
        <w:tc>
          <w:tcPr>
            <w:tcMar>
              <w:top w:w="60" w:type="dxa"/>
              <w:left w:w="110" w:type="dxa"/>
              <w:bottom w:w="60" w:type="dxa"/>
              <w:right w:w="110" w:type="dxa"/>
            </w:tcMar>
            <w:vAlign w:val="top"/>
          </w:tcPr>
          <w:p w14:paraId="00100038" w14:textId="00100039">
            <w:r>
              <w:rPr>
                <w:sz w:val="19"/>
              </w:rPr>
              <w:t xml:space="preserve">Courts of the Emirate of Dubai</w:t>
            </w:r>
          </w:p>
        </w:tc>
      </w:tr>
      <w:tr>
        <w:trPr/>
        <w:tc>
          <w:tcPr>
            <w:shd w:val="clear" w:fill="F7F7F7"/>
            <w:tcMar>
              <w:top w:w="60" w:type="dxa"/>
              <w:left w:w="110" w:type="dxa"/>
              <w:bottom w:w="60" w:type="dxa"/>
              <w:right w:w="110" w:type="dxa"/>
            </w:tcMar>
            <w:vAlign w:val="top"/>
          </w:tcPr>
          <w:p w14:paraId="0010003A" w14:textId="0010003B">
            <w:r>
              <w:rPr>
                <w:b w:val="false"/>
                <w:caps/>
                <w:color w:val="005A4B"/>
                <w:sz w:val="17"/>
              </w:rPr>
              <w:t xml:space="preserve">Signature method</w:t>
            </w:r>
          </w:p>
        </w:tc>
        <w:tc>
          <w:tcPr>
            <w:tcMar>
              <w:top w:w="60" w:type="dxa"/>
              <w:left w:w="110" w:type="dxa"/>
              <w:bottom w:w="60" w:type="dxa"/>
              <w:right w:w="110" w:type="dxa"/>
            </w:tcMar>
            <w:vAlign w:val="top"/>
          </w:tcPr>
          <w:p w14:paraId="0010003C" w14:textId="0010003D">
            <w:r>
              <w:rPr>
                <w:sz w:val="19"/>
              </w:rPr>
              <w:t xml:space="preserve">[wet ink / electronic signature]</w:t>
            </w:r>
          </w:p>
        </w:tc>
      </w:tr>
    </w:tbl>
    <w:p w14:paraId="0010003E" w14:textId="0010003F">
      <w:pPr>
        <w:spacing w:before="280" w:after="0"/>
        <w:jc w:val="left"/>
      </w:pPr>
      <w:r>
        <w:rPr>
          <w:rFonts w:ascii="Calibri" w:hAnsi="Calibri" w:eastAsia="Calibri"/>
          <w:i/>
          <w:color w:val="6B6B66"/>
          <w:sz w:val="17"/>
        </w:rPr>
        <w:t xml:space="preserve">This document is confidential to the Parties. It is a commercial template, not yet reviewed by a lawyer (draft prepared for lawyer review), and not legal advice. The Service is provided on a software-only licence: no hired staff, on-site personnel, consulting hours or physical safety officers are bundled with it, and the Customer remains responsible for its own HSE obligations. Each Party should obtain its own legal advice before signing.</w:t>
      </w:r>
    </w:p>
    <w:p w14:paraId="00100040" w14:textId="00100041">
      <w:pPr>
        <w:keepNext/>
        <w:pageBreakBefore/>
        <w:spacing w:before="0" w:after="160"/>
        <w:jc w:val="left"/>
      </w:pPr>
      <w:r>
        <w:rPr>
          <w:rFonts w:ascii="Calibri" w:hAnsi="Calibri" w:eastAsia="Calibri"/>
          <w:b/>
          <w:color w:val="005A4B"/>
          <w:sz w:val="27"/>
        </w:rPr>
        <w:t xml:space="preserve">Document control</w:t>
      </w:r>
    </w:p>
    <w:tbl>
      <w:tblPr>
        <w:tblW w:w="5000" w:type="pct"/>
        <w:tblBorders>
          <w:top w:val="single" w:color="DCDCDC" w:sz="4"/>
          <w:left w:val="single" w:color="DCDCDC" w:sz="4"/>
          <w:bottom w:val="single" w:color="DCDCDC" w:sz="4"/>
          <w:right w:val="single" w:color="DCDCDC" w:sz="4"/>
          <w:insideH w:val="single" w:color="DCDCDC" w:sz="4"/>
          <w:insideV w:val="none" w:sz="4"/>
        </w:tblBorders>
      </w:tblPr>
      <w:tblGrid>
        <w:gridCol w:w="2600"/>
        <w:gridCol w:w="6472"/>
      </w:tblGrid>
      <w:tr>
        <w:trPr/>
        <w:tc>
          <w:tcPr>
            <w:shd w:val="clear" w:fill="F0F0F0"/>
            <w:tcMar>
              <w:top w:w="60" w:type="dxa"/>
              <w:left w:w="110" w:type="dxa"/>
              <w:bottom w:w="60" w:type="dxa"/>
              <w:right w:w="110" w:type="dxa"/>
            </w:tcMar>
            <w:vAlign w:val="top"/>
          </w:tcPr>
          <w:p w14:paraId="00100042" w14:textId="00100043">
            <w:r>
              <w:rPr>
                <w:b/>
                <w:color w:val="34322D"/>
                <w:sz w:val="18"/>
              </w:rPr>
              <w:t xml:space="preserve">Item</w:t>
            </w:r>
          </w:p>
        </w:tc>
        <w:tc>
          <w:tcPr>
            <w:shd w:val="clear" w:fill="F0F0F0"/>
            <w:tcMar>
              <w:top w:w="60" w:type="dxa"/>
              <w:left w:w="110" w:type="dxa"/>
              <w:bottom w:w="60" w:type="dxa"/>
              <w:right w:w="110" w:type="dxa"/>
            </w:tcMar>
            <w:vAlign w:val="top"/>
          </w:tcPr>
          <w:p w14:paraId="00100044" w14:textId="00100045">
            <w:r>
              <w:rPr>
                <w:b/>
                <w:color w:val="34322D"/>
                <w:sz w:val="18"/>
              </w:rPr>
              <w:t xml:space="preserve">Detail</w:t>
            </w:r>
          </w:p>
        </w:tc>
      </w:tr>
      <w:tr>
        <w:trPr/>
        <w:tc>
          <w:tcPr>
            <w:shd w:val="clear" w:fill="F7F7F7"/>
            <w:tcMar>
              <w:top w:w="60" w:type="dxa"/>
              <w:left w:w="110" w:type="dxa"/>
              <w:bottom w:w="60" w:type="dxa"/>
              <w:right w:w="110" w:type="dxa"/>
            </w:tcMar>
            <w:vAlign w:val="top"/>
          </w:tcPr>
          <w:p w14:paraId="00100046" w14:textId="00100047">
            <w:r>
              <w:rPr>
                <w:b/>
                <w:sz w:val="19"/>
              </w:rPr>
              <w:t xml:space="preserve">Document title</w:t>
            </w:r>
          </w:p>
        </w:tc>
        <w:tc>
          <w:tcPr>
            <w:tcMar>
              <w:top w:w="60" w:type="dxa"/>
              <w:left w:w="110" w:type="dxa"/>
              <w:bottom w:w="60" w:type="dxa"/>
              <w:right w:w="110" w:type="dxa"/>
            </w:tcMar>
            <w:vAlign w:val="top"/>
          </w:tcPr>
          <w:p w14:paraId="00100048" w14:textId="00100049">
            <w:r>
              <w:rPr>
                <w:sz w:val="19"/>
              </w:rPr>
              <w:t xml:space="preserve">Enterprise Software Evaluation Agreement and Service Level Agreement</w:t>
            </w:r>
          </w:p>
        </w:tc>
      </w:tr>
      <w:tr>
        <w:trPr/>
        <w:tc>
          <w:tcPr>
            <w:shd w:val="clear" w:fill="F7F7F7"/>
            <w:tcMar>
              <w:top w:w="60" w:type="dxa"/>
              <w:left w:w="110" w:type="dxa"/>
              <w:bottom w:w="60" w:type="dxa"/>
              <w:right w:w="110" w:type="dxa"/>
            </w:tcMar>
            <w:vAlign w:val="top"/>
          </w:tcPr>
          <w:p w14:paraId="0010004A" w14:textId="0010004B">
            <w:r>
              <w:rPr>
                <w:b/>
                <w:sz w:val="19"/>
              </w:rPr>
              <w:t xml:space="preserve">Document reference</w:t>
            </w:r>
          </w:p>
        </w:tc>
        <w:tc>
          <w:tcPr>
            <w:tcMar>
              <w:top w:w="60" w:type="dxa"/>
              <w:left w:w="110" w:type="dxa"/>
              <w:bottom w:w="60" w:type="dxa"/>
              <w:right w:w="110" w:type="dxa"/>
            </w:tcMar>
            <w:vAlign w:val="top"/>
          </w:tcPr>
          <w:p w14:paraId="0010004C" w14:textId="0010004D">
            <w:r>
              <w:rPr>
                <w:sz w:val="19"/>
              </w:rPr>
              <w:t xml:space="preserve">SSUAE-EVAL-TEMPLATE-001</w:t>
            </w:r>
          </w:p>
        </w:tc>
      </w:tr>
      <w:tr>
        <w:trPr/>
        <w:tc>
          <w:tcPr>
            <w:shd w:val="clear" w:fill="F7F7F7"/>
            <w:tcMar>
              <w:top w:w="60" w:type="dxa"/>
              <w:left w:w="110" w:type="dxa"/>
              <w:bottom w:w="60" w:type="dxa"/>
              <w:right w:w="110" w:type="dxa"/>
            </w:tcMar>
            <w:vAlign w:val="top"/>
          </w:tcPr>
          <w:p w14:paraId="0010004E" w14:textId="0010004F">
            <w:r>
              <w:rPr>
                <w:b/>
                <w:sz w:val="19"/>
              </w:rPr>
              <w:t xml:space="preserve">Version</w:t>
            </w:r>
          </w:p>
        </w:tc>
        <w:tc>
          <w:tcPr>
            <w:tcMar>
              <w:top w:w="60" w:type="dxa"/>
              <w:left w:w="110" w:type="dxa"/>
              <w:bottom w:w="60" w:type="dxa"/>
              <w:right w:w="110" w:type="dxa"/>
            </w:tcMar>
            <w:vAlign w:val="top"/>
          </w:tcPr>
          <w:p w14:paraId="00100050" w14:textId="00100051">
            <w:r>
              <w:rPr>
                <w:sz w:val="19"/>
              </w:rPr>
              <w:t xml:space="preserve">1.0</w:t>
            </w:r>
          </w:p>
        </w:tc>
      </w:tr>
      <w:tr>
        <w:trPr/>
        <w:tc>
          <w:tcPr>
            <w:shd w:val="clear" w:fill="F7F7F7"/>
            <w:tcMar>
              <w:top w:w="60" w:type="dxa"/>
              <w:left w:w="110" w:type="dxa"/>
              <w:bottom w:w="60" w:type="dxa"/>
              <w:right w:w="110" w:type="dxa"/>
            </w:tcMar>
            <w:vAlign w:val="top"/>
          </w:tcPr>
          <w:p w14:paraId="00100052" w14:textId="00100053">
            <w:r>
              <w:rPr>
                <w:b/>
                <w:sz w:val="19"/>
              </w:rPr>
              <w:t xml:space="preserve">Status</w:t>
            </w:r>
          </w:p>
        </w:tc>
        <w:tc>
          <w:tcPr>
            <w:tcMar>
              <w:top w:w="60" w:type="dxa"/>
              <w:left w:w="110" w:type="dxa"/>
              <w:bottom w:w="60" w:type="dxa"/>
              <w:right w:w="110" w:type="dxa"/>
            </w:tcMar>
            <w:vAlign w:val="top"/>
          </w:tcPr>
          <w:p w14:paraId="00100054" w14:textId="00100055">
            <w:r>
              <w:rPr>
                <w:sz w:val="19"/>
              </w:rPr>
              <w:t xml:space="preserve">Approved for use</w:t>
            </w:r>
          </w:p>
        </w:tc>
      </w:tr>
      <w:tr>
        <w:trPr/>
        <w:tc>
          <w:tcPr>
            <w:shd w:val="clear" w:fill="F7F7F7"/>
            <w:tcMar>
              <w:top w:w="60" w:type="dxa"/>
              <w:left w:w="110" w:type="dxa"/>
              <w:bottom w:w="60" w:type="dxa"/>
              <w:right w:w="110" w:type="dxa"/>
            </w:tcMar>
            <w:vAlign w:val="top"/>
          </w:tcPr>
          <w:p w14:paraId="00100056" w14:textId="00100057">
            <w:r>
              <w:rPr>
                <w:b/>
                <w:sz w:val="19"/>
              </w:rPr>
              <w:t xml:space="preserve">Document owner</w:t>
            </w:r>
          </w:p>
        </w:tc>
        <w:tc>
          <w:tcPr>
            <w:tcMar>
              <w:top w:w="60" w:type="dxa"/>
              <w:left w:w="110" w:type="dxa"/>
              <w:bottom w:w="60" w:type="dxa"/>
              <w:right w:w="110" w:type="dxa"/>
            </w:tcMar>
            <w:vAlign w:val="top"/>
          </w:tcPr>
          <w:p w14:paraId="00100058" w14:textId="00100059">
            <w:r>
              <w:rPr>
                <w:sz w:val="19"/>
              </w:rPr>
              <w:t xml:space="preserve">Founder, Site Safety LLC</w:t>
            </w:r>
          </w:p>
        </w:tc>
      </w:tr>
      <w:tr>
        <w:trPr/>
        <w:tc>
          <w:tcPr>
            <w:shd w:val="clear" w:fill="F7F7F7"/>
            <w:tcMar>
              <w:top w:w="60" w:type="dxa"/>
              <w:left w:w="110" w:type="dxa"/>
              <w:bottom w:w="60" w:type="dxa"/>
              <w:right w:w="110" w:type="dxa"/>
            </w:tcMar>
            <w:vAlign w:val="top"/>
          </w:tcPr>
          <w:p w14:paraId="0010005A" w14:textId="0010005B">
            <w:r>
              <w:rPr>
                <w:b/>
                <w:sz w:val="19"/>
              </w:rPr>
              <w:t xml:space="preserve">Applies to</w:t>
            </w:r>
          </w:p>
        </w:tc>
        <w:tc>
          <w:tcPr>
            <w:tcMar>
              <w:top w:w="60" w:type="dxa"/>
              <w:left w:w="110" w:type="dxa"/>
              <w:bottom w:w="60" w:type="dxa"/>
              <w:right w:w="110" w:type="dxa"/>
            </w:tcMar>
            <w:vAlign w:val="top"/>
          </w:tcPr>
          <w:p w14:paraId="0010005C" w14:textId="0010005D">
            <w:r>
              <w:rPr>
                <w:sz w:val="19"/>
              </w:rPr>
              <w:t xml:space="preserve">Every Enterprise evaluation of the Site Safety UAE HSE Operations Dashboard granted by Site Safety LLC</w:t>
            </w:r>
          </w:p>
        </w:tc>
      </w:tr>
      <w:tr>
        <w:trPr/>
        <w:tc>
          <w:tcPr>
            <w:shd w:val="clear" w:fill="F7F7F7"/>
            <w:tcMar>
              <w:top w:w="60" w:type="dxa"/>
              <w:left w:w="110" w:type="dxa"/>
              <w:bottom w:w="60" w:type="dxa"/>
              <w:right w:w="110" w:type="dxa"/>
            </w:tcMar>
            <w:vAlign w:val="top"/>
          </w:tcPr>
          <w:p w14:paraId="0010005E" w14:textId="0010005F">
            <w:r>
              <w:rPr>
                <w:b/>
                <w:sz w:val="19"/>
              </w:rPr>
              <w:t xml:space="preserve">Governing law</w:t>
            </w:r>
          </w:p>
        </w:tc>
        <w:tc>
          <w:tcPr>
            <w:tcMar>
              <w:top w:w="60" w:type="dxa"/>
              <w:left w:w="110" w:type="dxa"/>
              <w:bottom w:w="60" w:type="dxa"/>
              <w:right w:w="110" w:type="dxa"/>
            </w:tcMar>
            <w:vAlign w:val="top"/>
          </w:tcPr>
          <w:p w14:paraId="00100060" w14:textId="00100061">
            <w:r>
              <w:rPr>
                <w:sz w:val="19"/>
              </w:rPr>
              <w:t xml:space="preserve">Laws of the United Arab Emirates</w:t>
            </w:r>
          </w:p>
        </w:tc>
      </w:tr>
      <w:tr>
        <w:trPr/>
        <w:tc>
          <w:tcPr>
            <w:shd w:val="clear" w:fill="F7F7F7"/>
            <w:tcMar>
              <w:top w:w="60" w:type="dxa"/>
              <w:left w:w="110" w:type="dxa"/>
              <w:bottom w:w="60" w:type="dxa"/>
              <w:right w:w="110" w:type="dxa"/>
            </w:tcMar>
            <w:vAlign w:val="top"/>
          </w:tcPr>
          <w:p w14:paraId="00100062" w14:textId="00100063">
            <w:r>
              <w:rPr>
                <w:b/>
                <w:sz w:val="19"/>
              </w:rPr>
              <w:t xml:space="preserve">Jurisdiction</w:t>
            </w:r>
          </w:p>
        </w:tc>
        <w:tc>
          <w:tcPr>
            <w:tcMar>
              <w:top w:w="60" w:type="dxa"/>
              <w:left w:w="110" w:type="dxa"/>
              <w:bottom w:w="60" w:type="dxa"/>
              <w:right w:w="110" w:type="dxa"/>
            </w:tcMar>
            <w:vAlign w:val="top"/>
          </w:tcPr>
          <w:p w14:paraId="00100064" w14:textId="00100065">
            <w:r>
              <w:rPr>
                <w:sz w:val="19"/>
              </w:rPr>
              <w:t xml:space="preserve">Courts of the Emirate of Dubai</w:t>
            </w:r>
          </w:p>
        </w:tc>
      </w:tr>
      <w:tr>
        <w:trPr/>
        <w:tc>
          <w:tcPr>
            <w:shd w:val="clear" w:fill="F7F7F7"/>
            <w:tcMar>
              <w:top w:w="60" w:type="dxa"/>
              <w:left w:w="110" w:type="dxa"/>
              <w:bottom w:w="60" w:type="dxa"/>
              <w:right w:w="110" w:type="dxa"/>
            </w:tcMar>
            <w:vAlign w:val="top"/>
          </w:tcPr>
          <w:p w14:paraId="00100066" w14:textId="00100067">
            <w:r>
              <w:rPr>
                <w:b/>
                <w:sz w:val="19"/>
              </w:rPr>
              <w:t xml:space="preserve">Review cycle</w:t>
            </w:r>
          </w:p>
        </w:tc>
        <w:tc>
          <w:tcPr>
            <w:tcMar>
              <w:top w:w="60" w:type="dxa"/>
              <w:left w:w="110" w:type="dxa"/>
              <w:bottom w:w="60" w:type="dxa"/>
              <w:right w:w="110" w:type="dxa"/>
            </w:tcMar>
            <w:vAlign w:val="top"/>
          </w:tcPr>
          <w:p w14:paraId="00100068" w14:textId="00100069">
            <w:r>
              <w:rPr>
                <w:sz w:val="19"/>
              </w:rPr>
              <w:t xml:space="preserve">Annually, and on any material change in law, the Service, or the published support and security position</w:t>
            </w:r>
          </w:p>
        </w:tc>
      </w:tr>
      <w:tr>
        <w:trPr/>
        <w:tc>
          <w:tcPr>
            <w:shd w:val="clear" w:fill="F7F7F7"/>
            <w:tcMar>
              <w:top w:w="60" w:type="dxa"/>
              <w:left w:w="110" w:type="dxa"/>
              <w:bottom w:w="60" w:type="dxa"/>
              <w:right w:w="110" w:type="dxa"/>
            </w:tcMar>
            <w:vAlign w:val="top"/>
          </w:tcPr>
          <w:p w14:paraId="0010006A" w14:textId="0010006B">
            <w:r>
              <w:rPr>
                <w:b/>
                <w:sz w:val="19"/>
              </w:rPr>
              <w:t xml:space="preserve">Next review</w:t>
            </w:r>
          </w:p>
        </w:tc>
        <w:tc>
          <w:tcPr>
            <w:tcMar>
              <w:top w:w="60" w:type="dxa"/>
              <w:left w:w="110" w:type="dxa"/>
              <w:bottom w:w="60" w:type="dxa"/>
              <w:right w:w="110" w:type="dxa"/>
            </w:tcMar>
            <w:vAlign w:val="top"/>
          </w:tcPr>
          <w:p w14:paraId="0010006C" w14:textId="0010006D">
            <w:r>
              <w:rPr>
                <w:sz w:val="19"/>
              </w:rPr>
              <w:t xml:space="preserve">2 October 2027</w:t>
            </w:r>
          </w:p>
        </w:tc>
      </w:tr>
      <w:tr>
        <w:trPr/>
        <w:tc>
          <w:tcPr>
            <w:shd w:val="clear" w:fill="F7F7F7"/>
            <w:tcMar>
              <w:top w:w="60" w:type="dxa"/>
              <w:left w:w="110" w:type="dxa"/>
              <w:bottom w:w="60" w:type="dxa"/>
              <w:right w:w="110" w:type="dxa"/>
            </w:tcMar>
            <w:vAlign w:val="top"/>
          </w:tcPr>
          <w:p w14:paraId="0010006E" w14:textId="0010006F">
            <w:r>
              <w:rPr>
                <w:b/>
                <w:sz w:val="19"/>
              </w:rPr>
              <w:t xml:space="preserve">Retention of signed copies</w:t>
            </w:r>
          </w:p>
        </w:tc>
        <w:tc>
          <w:tcPr>
            <w:tcMar>
              <w:top w:w="60" w:type="dxa"/>
              <w:left w:w="110" w:type="dxa"/>
              <w:bottom w:w="60" w:type="dxa"/>
              <w:right w:w="110" w:type="dxa"/>
            </w:tcMar>
            <w:vAlign w:val="top"/>
          </w:tcPr>
          <w:p w14:paraId="00100070" w14:textId="00100071">
            <w:r>
              <w:rPr>
                <w:sz w:val="19"/>
              </w:rPr>
              <w:t xml:space="preserve">Seven years after expiry, then securely destroyed</w:t>
            </w:r>
          </w:p>
        </w:tc>
      </w:tr>
    </w:tbl>
    <w:p w14:paraId="00100072" w14:textId="00100073">
      <w:pPr>
        <w:keepNext/>
        <w:spacing w:before="480" w:after="160"/>
        <w:jc w:val="left"/>
      </w:pPr>
      <w:r>
        <w:rPr>
          <w:rFonts w:ascii="Calibri" w:hAnsi="Calibri" w:eastAsia="Calibri"/>
          <w:b/>
          <w:color w:val="005A4B"/>
          <w:sz w:val="27"/>
        </w:rPr>
        <w:t xml:space="preserve">Document history</w:t>
      </w:r>
    </w:p>
    <w:tbl>
      <w:tblPr>
        <w:tblW w:w="5000" w:type="pct"/>
        <w:tblBorders>
          <w:top w:val="single" w:color="DCDCDC" w:sz="4"/>
          <w:left w:val="single" w:color="DCDCDC" w:sz="4"/>
          <w:bottom w:val="single" w:color="DCDCDC" w:sz="4"/>
          <w:right w:val="single" w:color="DCDCDC" w:sz="4"/>
          <w:insideH w:val="single" w:color="DCDCDC" w:sz="4"/>
          <w:insideV w:val="none" w:sz="4"/>
        </w:tblBorders>
      </w:tblPr>
      <w:tblGrid>
        <w:gridCol w:w="1100"/>
        <w:gridCol w:w="1500"/>
        <w:gridCol w:w="2400"/>
        <w:gridCol w:w="4072"/>
      </w:tblGrid>
      <w:tr>
        <w:trPr/>
        <w:tc>
          <w:tcPr>
            <w:shd w:val="clear" w:fill="F0F0F0"/>
            <w:tcMar>
              <w:top w:w="60" w:type="dxa"/>
              <w:left w:w="110" w:type="dxa"/>
              <w:bottom w:w="60" w:type="dxa"/>
              <w:right w:w="110" w:type="dxa"/>
            </w:tcMar>
            <w:vAlign w:val="top"/>
          </w:tcPr>
          <w:p w14:paraId="00100074" w14:textId="00100075">
            <w:r>
              <w:rPr>
                <w:b/>
                <w:color w:val="34322D"/>
                <w:sz w:val="18"/>
              </w:rPr>
              <w:t xml:space="preserve">Version</w:t>
            </w:r>
          </w:p>
        </w:tc>
        <w:tc>
          <w:tcPr>
            <w:shd w:val="clear" w:fill="F0F0F0"/>
            <w:tcMar>
              <w:top w:w="60" w:type="dxa"/>
              <w:left w:w="110" w:type="dxa"/>
              <w:bottom w:w="60" w:type="dxa"/>
              <w:right w:w="110" w:type="dxa"/>
            </w:tcMar>
            <w:vAlign w:val="top"/>
          </w:tcPr>
          <w:p w14:paraId="00100076" w14:textId="00100077">
            <w:r>
              <w:rPr>
                <w:b/>
                <w:color w:val="34322D"/>
                <w:sz w:val="18"/>
              </w:rPr>
              <w:t xml:space="preserve">Date</w:t>
            </w:r>
          </w:p>
        </w:tc>
        <w:tc>
          <w:tcPr>
            <w:shd w:val="clear" w:fill="F0F0F0"/>
            <w:tcMar>
              <w:top w:w="60" w:type="dxa"/>
              <w:left w:w="110" w:type="dxa"/>
              <w:bottom w:w="60" w:type="dxa"/>
              <w:right w:w="110" w:type="dxa"/>
            </w:tcMar>
            <w:vAlign w:val="top"/>
          </w:tcPr>
          <w:p w14:paraId="00100078" w14:textId="00100079">
            <w:r>
              <w:rPr>
                <w:b/>
                <w:color w:val="34322D"/>
                <w:sz w:val="18"/>
              </w:rPr>
              <w:t xml:space="preserve">Author</w:t>
            </w:r>
          </w:p>
        </w:tc>
        <w:tc>
          <w:tcPr>
            <w:shd w:val="clear" w:fill="F0F0F0"/>
            <w:tcMar>
              <w:top w:w="60" w:type="dxa"/>
              <w:left w:w="110" w:type="dxa"/>
              <w:bottom w:w="60" w:type="dxa"/>
              <w:right w:w="110" w:type="dxa"/>
            </w:tcMar>
            <w:vAlign w:val="top"/>
          </w:tcPr>
          <w:p w14:paraId="0010007A" w14:textId="0010007B">
            <w:r>
              <w:rPr>
                <w:b/>
                <w:color w:val="34322D"/>
                <w:sz w:val="18"/>
              </w:rPr>
              <w:t xml:space="preserve">Summary of changes</w:t>
            </w:r>
          </w:p>
        </w:tc>
      </w:tr>
      <w:tr>
        <w:trPr/>
        <w:tc>
          <w:tcPr>
            <w:shd w:val="clear" w:fill="F7F7F7"/>
            <w:tcMar>
              <w:top w:w="60" w:type="dxa"/>
              <w:left w:w="110" w:type="dxa"/>
              <w:bottom w:w="60" w:type="dxa"/>
              <w:right w:w="110" w:type="dxa"/>
            </w:tcMar>
            <w:vAlign w:val="top"/>
          </w:tcPr>
          <w:p w14:paraId="0010007C" w14:textId="0010007D">
            <w:r>
              <w:rPr>
                <w:b w:val="false"/>
                <w:sz w:val="19"/>
              </w:rPr>
              <w:t xml:space="preserve">1.0</w:t>
            </w:r>
          </w:p>
        </w:tc>
        <w:tc>
          <w:tcPr>
            <w:tcMar>
              <w:top w:w="60" w:type="dxa"/>
              <w:left w:w="110" w:type="dxa"/>
              <w:bottom w:w="60" w:type="dxa"/>
              <w:right w:w="110" w:type="dxa"/>
            </w:tcMar>
            <w:vAlign w:val="top"/>
          </w:tcPr>
          <w:p w14:paraId="0010007E" w14:textId="0010007F">
            <w:r>
              <w:rPr>
                <w:sz w:val="19"/>
              </w:rPr>
              <w:t xml:space="preserve">2 October 2026</w:t>
            </w:r>
          </w:p>
        </w:tc>
        <w:tc>
          <w:tcPr>
            <w:tcMar>
              <w:top w:w="60" w:type="dxa"/>
              <w:left w:w="110" w:type="dxa"/>
              <w:bottom w:w="60" w:type="dxa"/>
              <w:right w:w="110" w:type="dxa"/>
            </w:tcMar>
            <w:vAlign w:val="top"/>
          </w:tcPr>
          <w:p w14:paraId="00100080" w14:textId="00100081">
            <w:r>
              <w:rPr>
                <w:sz w:val="19"/>
              </w:rPr>
              <w:t xml:space="preserve">Founder, Site Safety LLC</w:t>
            </w:r>
          </w:p>
        </w:tc>
        <w:tc>
          <w:tcPr>
            <w:tcMar>
              <w:top w:w="60" w:type="dxa"/>
              <w:left w:w="110" w:type="dxa"/>
              <w:bottom w:w="60" w:type="dxa"/>
              <w:right w:w="110" w:type="dxa"/>
            </w:tcMar>
            <w:vAlign w:val="top"/>
          </w:tcPr>
          <w:p w14:paraId="00100082" w14:textId="00100083">
            <w:r>
              <w:rPr>
                <w:sz w:val="19"/>
              </w:rPr>
              <w:t xml:space="preserve">First issue. Enterprise evaluation terms aligned to the published Terms of Service (v1.4), Support SLA and response-time policy (v1.1), Security &amp; Access disclosure, Privacy Policy (v1.3) and Trust &amp; AI Safety guidance, and to the UAE Civil Transactions Law (Federal Decree-Law No. 25 of 2025).</w:t>
            </w:r>
          </w:p>
        </w:tc>
      </w:tr>
    </w:tbl>
    <w:p w14:paraId="00100084" w14:textId="00100085">
      <w:pPr>
        <w:keepNext/>
        <w:spacing w:before="480" w:after="160"/>
        <w:jc w:val="left"/>
      </w:pPr>
      <w:r>
        <w:rPr>
          <w:rFonts w:ascii="Calibri" w:hAnsi="Calibri" w:eastAsia="Calibri"/>
          <w:b/>
          <w:color w:val="005A4B"/>
          <w:sz w:val="27"/>
        </w:rPr>
        <w:t xml:space="preserve">Related agreements and published documents</w:t>
      </w:r>
    </w:p>
    <w:p w14:paraId="00100086" w14:textId="00100087">
      <w:pPr>
        <w:spacing w:after="200"/>
        <w:jc w:val="both"/>
      </w:pPr>
      <w:r>
        <w:rPr>
          <w:rFonts w:ascii="Calibri" w:hAnsi="Calibri" w:eastAsia="Calibri"/>
          <w:color w:val="34322D"/>
          <w:sz w:val="21"/>
        </w:rPr>
        <w:t xml:space="preserve">This Agreement sits inside a framework of published documents. Clause 2 sets out how they interact and which prevails if there is a conflict.</w:t>
      </w:r>
    </w:p>
    <w:tbl>
      <w:tblPr>
        <w:tblW w:w="5000" w:type="pct"/>
        <w:tblBorders>
          <w:top w:val="single" w:color="DCDCDC" w:sz="4"/>
          <w:left w:val="single" w:color="DCDCDC" w:sz="4"/>
          <w:bottom w:val="single" w:color="DCDCDC" w:sz="4"/>
          <w:right w:val="single" w:color="DCDCDC" w:sz="4"/>
          <w:insideH w:val="single" w:color="DCDCDC" w:sz="4"/>
          <w:insideV w:val="none" w:sz="4"/>
        </w:tblBorders>
      </w:tblPr>
      <w:tblGrid>
        <w:gridCol w:w="2400"/>
        <w:gridCol w:w="1800"/>
        <w:gridCol w:w="4872"/>
      </w:tblGrid>
      <w:tr>
        <w:trPr/>
        <w:tc>
          <w:tcPr>
            <w:shd w:val="clear" w:fill="F0F0F0"/>
            <w:tcMar>
              <w:top w:w="60" w:type="dxa"/>
              <w:left w:w="110" w:type="dxa"/>
              <w:bottom w:w="60" w:type="dxa"/>
              <w:right w:w="110" w:type="dxa"/>
            </w:tcMar>
            <w:vAlign w:val="top"/>
          </w:tcPr>
          <w:p w14:paraId="00100088" w14:textId="00100089">
            <w:r>
              <w:rPr>
                <w:b/>
                <w:color w:val="34322D"/>
                <w:sz w:val="18"/>
              </w:rPr>
              <w:t xml:space="preserve">Document</w:t>
            </w:r>
          </w:p>
        </w:tc>
        <w:tc>
          <w:tcPr>
            <w:shd w:val="clear" w:fill="F0F0F0"/>
            <w:tcMar>
              <w:top w:w="60" w:type="dxa"/>
              <w:left w:w="110" w:type="dxa"/>
              <w:bottom w:w="60" w:type="dxa"/>
              <w:right w:w="110" w:type="dxa"/>
            </w:tcMar>
            <w:vAlign w:val="top"/>
          </w:tcPr>
          <w:p w14:paraId="0010008A" w14:textId="0010008B">
            <w:r>
              <w:rPr>
                <w:b/>
                <w:color w:val="34322D"/>
                <w:sz w:val="18"/>
              </w:rPr>
              <w:t xml:space="preserve">Reference</w:t>
            </w:r>
          </w:p>
        </w:tc>
        <w:tc>
          <w:tcPr>
            <w:shd w:val="clear" w:fill="F0F0F0"/>
            <w:tcMar>
              <w:top w:w="60" w:type="dxa"/>
              <w:left w:w="110" w:type="dxa"/>
              <w:bottom w:w="60" w:type="dxa"/>
              <w:right w:w="110" w:type="dxa"/>
            </w:tcMar>
            <w:vAlign w:val="top"/>
          </w:tcPr>
          <w:p w14:paraId="0010008C" w14:textId="0010008D">
            <w:r>
              <w:rPr>
                <w:b/>
                <w:color w:val="34322D"/>
                <w:sz w:val="18"/>
              </w:rPr>
              <w:t xml:space="preserve">Role in the framework</w:t>
            </w:r>
          </w:p>
        </w:tc>
      </w:tr>
      <w:tr>
        <w:trPr/>
        <w:tc>
          <w:tcPr>
            <w:shd w:val="clear" w:fill="F7F7F7"/>
            <w:tcMar>
              <w:top w:w="60" w:type="dxa"/>
              <w:left w:w="110" w:type="dxa"/>
              <w:bottom w:w="60" w:type="dxa"/>
              <w:right w:w="110" w:type="dxa"/>
            </w:tcMar>
            <w:vAlign w:val="top"/>
          </w:tcPr>
          <w:p w14:paraId="0010008E" w14:textId="0010008F">
            <w:r>
              <w:rPr>
                <w:b/>
                <w:sz w:val="18"/>
              </w:rPr>
              <w:t xml:space="preserve">Mutual Non-Disclosure Agreement</w:t>
            </w:r>
          </w:p>
        </w:tc>
        <w:tc>
          <w:tcPr>
            <w:tcMar>
              <w:top w:w="60" w:type="dxa"/>
              <w:left w:w="110" w:type="dxa"/>
              <w:bottom w:w="60" w:type="dxa"/>
              <w:right w:w="110" w:type="dxa"/>
            </w:tcMar>
            <w:vAlign w:val="top"/>
          </w:tcPr>
          <w:p w14:paraId="00100090" w14:textId="00100091">
            <w:r>
              <w:rPr>
                <w:sz w:val="18"/>
              </w:rPr>
              <w:t xml:space="preserve">SSUAE-NDA-TEMPLATE-001</w:t>
            </w:r>
          </w:p>
        </w:tc>
        <w:tc>
          <w:tcPr>
            <w:tcMar>
              <w:top w:w="60" w:type="dxa"/>
              <w:left w:w="110" w:type="dxa"/>
              <w:bottom w:w="60" w:type="dxa"/>
              <w:right w:w="110" w:type="dxa"/>
            </w:tcMar>
            <w:vAlign w:val="top"/>
          </w:tcPr>
          <w:p w14:paraId="00100092" w14:textId="00100093">
            <w:r>
              <w:rPr>
                <w:sz w:val="18"/>
              </w:rPr>
              <w:t xml:space="preserve">Protects confidential information exchanged during the evaluation. Incorporated by reference under clause 14.</w:t>
            </w:r>
          </w:p>
        </w:tc>
      </w:tr>
      <w:tr>
        <w:trPr/>
        <w:tc>
          <w:tcPr>
            <w:shd w:val="clear" w:fill="F7F7F7"/>
            <w:tcMar>
              <w:top w:w="60" w:type="dxa"/>
              <w:left w:w="110" w:type="dxa"/>
              <w:bottom w:w="60" w:type="dxa"/>
              <w:right w:w="110" w:type="dxa"/>
            </w:tcMar>
            <w:vAlign w:val="top"/>
          </w:tcPr>
          <w:p w14:paraId="00100094" w14:textId="00100095">
            <w:r>
              <w:rPr>
                <w:b/>
                <w:sz w:val="18"/>
              </w:rPr>
              <w:t xml:space="preserve">Terms of Service</w:t>
            </w:r>
          </w:p>
        </w:tc>
        <w:tc>
          <w:tcPr>
            <w:tcMar>
              <w:top w:w="60" w:type="dxa"/>
              <w:left w:w="110" w:type="dxa"/>
              <w:bottom w:w="60" w:type="dxa"/>
              <w:right w:w="110" w:type="dxa"/>
            </w:tcMar>
            <w:vAlign w:val="top"/>
          </w:tcPr>
          <w:p w14:paraId="00100096" w14:textId="00100097">
            <w:r>
              <w:rPr>
                <w:sz w:val="18"/>
              </w:rPr>
              <w:t xml:space="preserve">v1.4, 27 July 2026</w:t>
            </w:r>
          </w:p>
        </w:tc>
        <w:tc>
          <w:tcPr>
            <w:tcMar>
              <w:top w:w="60" w:type="dxa"/>
              <w:left w:w="110" w:type="dxa"/>
              <w:bottom w:w="60" w:type="dxa"/>
              <w:right w:w="110" w:type="dxa"/>
            </w:tcMar>
            <w:vAlign w:val="top"/>
          </w:tcPr>
          <w:p w14:paraId="00100098" w14:textId="00100099">
            <w:r>
              <w:rPr>
                <w:sz w:val="18"/>
              </w:rPr>
              <w:t xml:space="preserve">Baseline terms for use of the Service. Incorporated where this Agreement does not expressly vary them.</w:t>
            </w:r>
          </w:p>
        </w:tc>
      </w:tr>
      <w:tr>
        <w:trPr/>
        <w:tc>
          <w:tcPr>
            <w:shd w:val="clear" w:fill="F7F7F7"/>
            <w:tcMar>
              <w:top w:w="60" w:type="dxa"/>
              <w:left w:w="110" w:type="dxa"/>
              <w:bottom w:w="60" w:type="dxa"/>
              <w:right w:w="110" w:type="dxa"/>
            </w:tcMar>
            <w:vAlign w:val="top"/>
          </w:tcPr>
          <w:p w14:paraId="0010009A" w14:textId="0010009B">
            <w:r>
              <w:rPr>
                <w:b/>
                <w:sz w:val="18"/>
              </w:rPr>
              <w:t xml:space="preserve">Data Processing Agreement</w:t>
            </w:r>
          </w:p>
        </w:tc>
        <w:tc>
          <w:tcPr>
            <w:tcMar>
              <w:top w:w="60" w:type="dxa"/>
              <w:left w:w="110" w:type="dxa"/>
              <w:bottom w:w="60" w:type="dxa"/>
              <w:right w:w="110" w:type="dxa"/>
            </w:tcMar>
            <w:vAlign w:val="top"/>
          </w:tcPr>
          <w:p w14:paraId="0010009C" w14:textId="0010009D">
            <w:r>
              <w:rPr>
                <w:sz w:val="18"/>
              </w:rPr>
              <w:t xml:space="preserve">Signed before onboarding</w:t>
            </w:r>
          </w:p>
        </w:tc>
        <w:tc>
          <w:tcPr>
            <w:tcMar>
              <w:top w:w="60" w:type="dxa"/>
              <w:left w:w="110" w:type="dxa"/>
              <w:bottom w:w="60" w:type="dxa"/>
              <w:right w:w="110" w:type="dxa"/>
            </w:tcMar>
            <w:vAlign w:val="top"/>
          </w:tcPr>
          <w:p w14:paraId="0010009E" w14:textId="0010009F">
            <w:r>
              <w:rPr>
                <w:sz w:val="18"/>
              </w:rPr>
              <w:t xml:space="preserve">Governs the processing of Personal Data in the Evaluation Workspace. Takes precedence over clause 11 on data protection matters.</w:t>
            </w:r>
          </w:p>
        </w:tc>
      </w:tr>
      <w:tr>
        <w:trPr/>
        <w:tc>
          <w:tcPr>
            <w:shd w:val="clear" w:fill="F7F7F7"/>
            <w:tcMar>
              <w:top w:w="60" w:type="dxa"/>
              <w:left w:w="110" w:type="dxa"/>
              <w:bottom w:w="60" w:type="dxa"/>
              <w:right w:w="110" w:type="dxa"/>
            </w:tcMar>
            <w:vAlign w:val="top"/>
          </w:tcPr>
          <w:p w14:paraId="001000A0" w14:textId="001000A1">
            <w:r>
              <w:rPr>
                <w:b/>
                <w:sz w:val="18"/>
              </w:rPr>
              <w:t xml:space="preserve">Support SLA and response-time policy</w:t>
            </w:r>
          </w:p>
        </w:tc>
        <w:tc>
          <w:tcPr>
            <w:tcMar>
              <w:top w:w="60" w:type="dxa"/>
              <w:left w:w="110" w:type="dxa"/>
              <w:bottom w:w="60" w:type="dxa"/>
              <w:right w:w="110" w:type="dxa"/>
            </w:tcMar>
            <w:vAlign w:val="top"/>
          </w:tcPr>
          <w:p w14:paraId="001000A2" w14:textId="001000A3">
            <w:r>
              <w:rPr>
                <w:sz w:val="18"/>
              </w:rPr>
              <w:t xml:space="preserve">v1.1, effective 1 October 2026</w:t>
            </w:r>
          </w:p>
        </w:tc>
        <w:tc>
          <w:tcPr>
            <w:tcMar>
              <w:top w:w="60" w:type="dxa"/>
              <w:left w:w="110" w:type="dxa"/>
              <w:bottom w:w="60" w:type="dxa"/>
              <w:right w:w="110" w:type="dxa"/>
            </w:tcMar>
            <w:vAlign w:val="top"/>
          </w:tcPr>
          <w:p w14:paraId="001000A4" w14:textId="001000A5">
            <w:r>
              <w:rPr>
                <w:sz w:val="18"/>
              </w:rPr>
              <w:t xml:space="preserve">Published response targets by plan. Schedule B and Schedule C record the contractual position for this evaluation.</w:t>
            </w:r>
          </w:p>
        </w:tc>
      </w:tr>
      <w:tr>
        <w:trPr/>
        <w:tc>
          <w:tcPr>
            <w:shd w:val="clear" w:fill="F7F7F7"/>
            <w:tcMar>
              <w:top w:w="60" w:type="dxa"/>
              <w:left w:w="110" w:type="dxa"/>
              <w:bottom w:w="60" w:type="dxa"/>
              <w:right w:w="110" w:type="dxa"/>
            </w:tcMar>
            <w:vAlign w:val="top"/>
          </w:tcPr>
          <w:p w14:paraId="001000A6" w14:textId="001000A7">
            <w:r>
              <w:rPr>
                <w:b/>
                <w:sz w:val="18"/>
              </w:rPr>
              <w:t xml:space="preserve">Security &amp; Access disclosure</w:t>
            </w:r>
          </w:p>
        </w:tc>
        <w:tc>
          <w:tcPr>
            <w:tcMar>
              <w:top w:w="60" w:type="dxa"/>
              <w:left w:w="110" w:type="dxa"/>
              <w:bottom w:w="60" w:type="dxa"/>
              <w:right w:w="110" w:type="dxa"/>
            </w:tcMar>
            <w:vAlign w:val="top"/>
          </w:tcPr>
          <w:p w14:paraId="001000A8" w14:textId="001000A9">
            <w:r>
              <w:rPr>
                <w:sz w:val="18"/>
              </w:rPr>
              <w:t xml:space="preserve">Current version</w:t>
            </w:r>
          </w:p>
        </w:tc>
        <w:tc>
          <w:tcPr>
            <w:tcMar>
              <w:top w:w="60" w:type="dxa"/>
              <w:left w:w="110" w:type="dxa"/>
              <w:bottom w:w="60" w:type="dxa"/>
              <w:right w:w="110" w:type="dxa"/>
            </w:tcMar>
            <w:vAlign w:val="top"/>
          </w:tcPr>
          <w:p w14:paraId="001000AA" w14:textId="001000AB">
            <w:r>
              <w:rPr>
                <w:sz w:val="18"/>
              </w:rPr>
              <w:t xml:space="preserve">Describes the controls in place and the controls not in place. Basis of Schedule D.</w:t>
            </w:r>
          </w:p>
        </w:tc>
      </w:tr>
      <w:tr>
        <w:trPr/>
        <w:tc>
          <w:tcPr>
            <w:shd w:val="clear" w:fill="F7F7F7"/>
            <w:tcMar>
              <w:top w:w="60" w:type="dxa"/>
              <w:left w:w="110" w:type="dxa"/>
              <w:bottom w:w="60" w:type="dxa"/>
              <w:right w:w="110" w:type="dxa"/>
            </w:tcMar>
            <w:vAlign w:val="top"/>
          </w:tcPr>
          <w:p w14:paraId="001000AC" w14:textId="001000AD">
            <w:r>
              <w:rPr>
                <w:b/>
                <w:sz w:val="18"/>
              </w:rPr>
              <w:t xml:space="preserve">Privacy Policy</w:t>
            </w:r>
          </w:p>
        </w:tc>
        <w:tc>
          <w:tcPr>
            <w:tcMar>
              <w:top w:w="60" w:type="dxa"/>
              <w:left w:w="110" w:type="dxa"/>
              <w:bottom w:w="60" w:type="dxa"/>
              <w:right w:w="110" w:type="dxa"/>
            </w:tcMar>
            <w:vAlign w:val="top"/>
          </w:tcPr>
          <w:p w14:paraId="001000AE" w14:textId="001000AF">
            <w:r>
              <w:rPr>
                <w:sz w:val="18"/>
              </w:rPr>
              <w:t xml:space="preserve">v1.3, 27 July 2026</w:t>
            </w:r>
          </w:p>
        </w:tc>
        <w:tc>
          <w:tcPr>
            <w:tcMar>
              <w:top w:w="60" w:type="dxa"/>
              <w:left w:w="110" w:type="dxa"/>
              <w:bottom w:w="60" w:type="dxa"/>
              <w:right w:w="110" w:type="dxa"/>
            </w:tcMar>
            <w:vAlign w:val="top"/>
          </w:tcPr>
          <w:p w14:paraId="001000B0" w14:textId="001000B1">
            <w:r>
              <w:rPr>
                <w:sz w:val="18"/>
              </w:rPr>
              <w:t xml:space="preserve">How Site Safety UAE handles personal information as controller.</w:t>
            </w:r>
          </w:p>
        </w:tc>
      </w:tr>
      <w:tr>
        <w:trPr/>
        <w:tc>
          <w:tcPr>
            <w:shd w:val="clear" w:fill="F7F7F7"/>
            <w:tcMar>
              <w:top w:w="60" w:type="dxa"/>
              <w:left w:w="110" w:type="dxa"/>
              <w:bottom w:w="60" w:type="dxa"/>
              <w:right w:w="110" w:type="dxa"/>
            </w:tcMar>
            <w:vAlign w:val="top"/>
          </w:tcPr>
          <w:p w14:paraId="001000B2" w14:textId="001000B3">
            <w:r>
              <w:rPr>
                <w:b/>
                <w:sz w:val="18"/>
              </w:rPr>
              <w:t xml:space="preserve">Trust &amp; AI Safety guidance</w:t>
            </w:r>
          </w:p>
        </w:tc>
        <w:tc>
          <w:tcPr>
            <w:tcMar>
              <w:top w:w="60" w:type="dxa"/>
              <w:left w:w="110" w:type="dxa"/>
              <w:bottom w:w="60" w:type="dxa"/>
              <w:right w:w="110" w:type="dxa"/>
            </w:tcMar>
            <w:vAlign w:val="top"/>
          </w:tcPr>
          <w:p w14:paraId="001000B4" w14:textId="001000B5">
            <w:r>
              <w:rPr>
                <w:sz w:val="18"/>
              </w:rPr>
              <w:t xml:space="preserve">Current version</w:t>
            </w:r>
          </w:p>
        </w:tc>
        <w:tc>
          <w:tcPr>
            <w:tcMar>
              <w:top w:w="60" w:type="dxa"/>
              <w:left w:w="110" w:type="dxa"/>
              <w:bottom w:w="60" w:type="dxa"/>
              <w:right w:w="110" w:type="dxa"/>
            </w:tcMar>
            <w:vAlign w:val="top"/>
          </w:tcPr>
          <w:p w14:paraId="001000B6" w14:textId="001000B7">
            <w:r>
              <w:rPr>
                <w:sz w:val="18"/>
              </w:rPr>
              <w:t xml:space="preserve">How AI features are used, verified and limited. Basis of clause 12.</w:t>
            </w:r>
          </w:p>
        </w:tc>
      </w:tr>
      <w:tr>
        <w:trPr/>
        <w:tc>
          <w:tcPr>
            <w:shd w:val="clear" w:fill="F7F7F7"/>
            <w:tcMar>
              <w:top w:w="60" w:type="dxa"/>
              <w:left w:w="110" w:type="dxa"/>
              <w:bottom w:w="60" w:type="dxa"/>
              <w:right w:w="110" w:type="dxa"/>
            </w:tcMar>
            <w:vAlign w:val="top"/>
          </w:tcPr>
          <w:p w14:paraId="001000B8" w14:textId="001000B9">
            <w:r>
              <w:rPr>
                <w:b/>
                <w:sz w:val="18"/>
              </w:rPr>
              <w:t xml:space="preserve">Refund Policy</w:t>
            </w:r>
          </w:p>
        </w:tc>
        <w:tc>
          <w:tcPr>
            <w:tcMar>
              <w:top w:w="60" w:type="dxa"/>
              <w:left w:w="110" w:type="dxa"/>
              <w:bottom w:w="60" w:type="dxa"/>
              <w:right w:w="110" w:type="dxa"/>
            </w:tcMar>
            <w:vAlign w:val="top"/>
          </w:tcPr>
          <w:p w14:paraId="001000BA" w14:textId="001000BB">
            <w:r>
              <w:rPr>
                <w:sz w:val="18"/>
              </w:rPr>
              <w:t xml:space="preserve">Current version</w:t>
            </w:r>
          </w:p>
        </w:tc>
        <w:tc>
          <w:tcPr>
            <w:tcMar>
              <w:top w:w="60" w:type="dxa"/>
              <w:left w:w="110" w:type="dxa"/>
              <w:bottom w:w="60" w:type="dxa"/>
              <w:right w:w="110" w:type="dxa"/>
            </w:tcMar>
            <w:vAlign w:val="top"/>
          </w:tcPr>
          <w:p w14:paraId="001000BC" w14:textId="001000BD">
            <w:r>
              <w:rPr>
                <w:sz w:val="18"/>
              </w:rPr>
              <w:t xml:space="preserve">Refund mechanics for any paid subscription that follows the evaluation.</w:t>
            </w:r>
          </w:p>
        </w:tc>
      </w:tr>
    </w:tbl>
    <w:p w14:paraId="001000BE" w14:textId="001000BF">
      <w:pPr>
        <w:keepNext/>
        <w:pageBreakBefore/>
        <w:spacing w:before="0" w:after="160"/>
        <w:jc w:val="left"/>
      </w:pPr>
      <w:r>
        <w:rPr>
          <w:rFonts w:ascii="Calibri" w:hAnsi="Calibri" w:eastAsia="Calibri"/>
          <w:b/>
          <w:color w:val="005A4B"/>
          <w:sz w:val="27"/>
        </w:rPr>
        <w:t xml:space="preserve">Agreement particulars</w:t>
      </w:r>
    </w:p>
    <w:p w14:paraId="001000C0" w14:textId="001000C1">
      <w:pPr>
        <w:spacing w:after="200"/>
        <w:jc w:val="both"/>
      </w:pPr>
      <w:r>
        <w:rPr>
          <w:rFonts w:ascii="Calibri" w:hAnsi="Calibri" w:eastAsia="Calibri"/>
          <w:color w:val="34322D"/>
          <w:sz w:val="21"/>
        </w:rPr>
        <w:t xml:space="preserve">The particulars below record the commercial terms of this evaluation. Where a particular is completed in an Order Form signed by both Parties, the Order Form prevails over this table.</w:t>
      </w:r>
    </w:p>
    <w:tbl>
      <w:tblPr>
        <w:tblW w:w="5000" w:type="pct"/>
        <w:tblBorders>
          <w:top w:val="single" w:color="DCDCDC" w:sz="4"/>
          <w:left w:val="single" w:color="DCDCDC" w:sz="4"/>
          <w:bottom w:val="single" w:color="DCDCDC" w:sz="4"/>
          <w:right w:val="single" w:color="DCDCDC" w:sz="4"/>
          <w:insideH w:val="single" w:color="DCDCDC" w:sz="4"/>
          <w:insideV w:val="none" w:sz="4"/>
        </w:tblBorders>
      </w:tblPr>
      <w:tblGrid>
        <w:gridCol w:w="2900"/>
        <w:gridCol w:w="6172"/>
      </w:tblGrid>
      <w:tr>
        <w:trPr/>
        <w:tc>
          <w:tcPr>
            <w:shd w:val="clear" w:fill="F0F0F0"/>
            <w:tcMar>
              <w:top w:w="60" w:type="dxa"/>
              <w:left w:w="110" w:type="dxa"/>
              <w:bottom w:w="60" w:type="dxa"/>
              <w:right w:w="110" w:type="dxa"/>
            </w:tcMar>
            <w:vAlign w:val="top"/>
          </w:tcPr>
          <w:p w14:paraId="001000C2" w14:textId="001000C3">
            <w:r>
              <w:rPr>
                <w:b/>
                <w:color w:val="34322D"/>
                <w:sz w:val="18"/>
              </w:rPr>
              <w:t xml:space="preserve">Particular</w:t>
            </w:r>
          </w:p>
        </w:tc>
        <w:tc>
          <w:tcPr>
            <w:shd w:val="clear" w:fill="F0F0F0"/>
            <w:tcMar>
              <w:top w:w="60" w:type="dxa"/>
              <w:left w:w="110" w:type="dxa"/>
              <w:bottom w:w="60" w:type="dxa"/>
              <w:right w:w="110" w:type="dxa"/>
            </w:tcMar>
            <w:vAlign w:val="top"/>
          </w:tcPr>
          <w:p w14:paraId="001000C4" w14:textId="001000C5">
            <w:r>
              <w:rPr>
                <w:b/>
                <w:color w:val="34322D"/>
                <w:sz w:val="18"/>
              </w:rPr>
              <w:t xml:space="preserve">Entry</w:t>
            </w:r>
          </w:p>
        </w:tc>
      </w:tr>
      <w:tr>
        <w:trPr/>
        <w:tc>
          <w:tcPr>
            <w:shd w:val="clear" w:fill="F7F7F7"/>
            <w:tcMar>
              <w:top w:w="60" w:type="dxa"/>
              <w:left w:w="110" w:type="dxa"/>
              <w:bottom w:w="60" w:type="dxa"/>
              <w:right w:w="110" w:type="dxa"/>
            </w:tcMar>
            <w:vAlign w:val="top"/>
          </w:tcPr>
          <w:p w14:paraId="001000C6" w14:textId="001000C7">
            <w:r>
              <w:rPr>
                <w:b/>
                <w:sz w:val="19"/>
              </w:rPr>
              <w:t xml:space="preserve">Evaluation reference</w:t>
            </w:r>
          </w:p>
        </w:tc>
        <w:tc>
          <w:tcPr>
            <w:tcMar>
              <w:top w:w="60" w:type="dxa"/>
              <w:left w:w="110" w:type="dxa"/>
              <w:bottom w:w="60" w:type="dxa"/>
              <w:right w:w="110" w:type="dxa"/>
            </w:tcMar>
            <w:vAlign w:val="top"/>
          </w:tcPr>
          <w:p w14:paraId="001000C8" w14:textId="001000C9">
            <w:r>
              <w:rPr>
                <w:sz w:val="19"/>
              </w:rPr>
              <w:t xml:space="preserve">[SSUAE-EVAL-YYYY-###]</w:t>
            </w:r>
          </w:p>
        </w:tc>
      </w:tr>
      <w:tr>
        <w:trPr/>
        <w:tc>
          <w:tcPr>
            <w:shd w:val="clear" w:fill="F7F7F7"/>
            <w:tcMar>
              <w:top w:w="60" w:type="dxa"/>
              <w:left w:w="110" w:type="dxa"/>
              <w:bottom w:w="60" w:type="dxa"/>
              <w:right w:w="110" w:type="dxa"/>
            </w:tcMar>
            <w:vAlign w:val="top"/>
          </w:tcPr>
          <w:p w14:paraId="001000CA" w14:textId="001000CB">
            <w:r>
              <w:rPr>
                <w:b/>
                <w:sz w:val="19"/>
              </w:rPr>
              <w:t xml:space="preserve">Effective date</w:t>
            </w:r>
          </w:p>
        </w:tc>
        <w:tc>
          <w:tcPr>
            <w:tcMar>
              <w:top w:w="60" w:type="dxa"/>
              <w:left w:w="110" w:type="dxa"/>
              <w:bottom w:w="60" w:type="dxa"/>
              <w:right w:w="110" w:type="dxa"/>
            </w:tcMar>
            <w:vAlign w:val="top"/>
          </w:tcPr>
          <w:p w14:paraId="001000CC" w14:textId="001000CD">
            <w:r>
              <w:rPr>
                <w:sz w:val="19"/>
              </w:rPr>
              <w:t xml:space="preserve">[DD Month YYYY]</w:t>
            </w:r>
          </w:p>
        </w:tc>
      </w:tr>
      <w:tr>
        <w:trPr/>
        <w:tc>
          <w:tcPr>
            <w:shd w:val="clear" w:fill="F7F7F7"/>
            <w:tcMar>
              <w:top w:w="60" w:type="dxa"/>
              <w:left w:w="110" w:type="dxa"/>
              <w:bottom w:w="60" w:type="dxa"/>
              <w:right w:w="110" w:type="dxa"/>
            </w:tcMar>
            <w:vAlign w:val="top"/>
          </w:tcPr>
          <w:p w14:paraId="001000CE" w14:textId="001000CF">
            <w:r>
              <w:rPr>
                <w:b/>
                <w:sz w:val="19"/>
              </w:rPr>
              <w:t xml:space="preserve">Evaluation period</w:t>
            </w:r>
          </w:p>
        </w:tc>
        <w:tc>
          <w:tcPr>
            <w:tcMar>
              <w:top w:w="60" w:type="dxa"/>
              <w:left w:w="110" w:type="dxa"/>
              <w:bottom w:w="60" w:type="dxa"/>
              <w:right w:w="110" w:type="dxa"/>
            </w:tcMar>
            <w:vAlign w:val="top"/>
          </w:tcPr>
          <w:p w14:paraId="001000D0" w14:textId="001000D1">
            <w:r>
              <w:rPr>
                <w:sz w:val="19"/>
              </w:rPr>
              <w:t xml:space="preserve">[30] days from the Effective Date, ending [DD Month YYYY] (clause 5.1)</w:t>
            </w:r>
          </w:p>
        </w:tc>
      </w:tr>
      <w:tr>
        <w:trPr/>
        <w:tc>
          <w:tcPr>
            <w:shd w:val="clear" w:fill="F7F7F7"/>
            <w:tcMar>
              <w:top w:w="60" w:type="dxa"/>
              <w:left w:w="110" w:type="dxa"/>
              <w:bottom w:w="60" w:type="dxa"/>
              <w:right w:w="110" w:type="dxa"/>
            </w:tcMar>
            <w:vAlign w:val="top"/>
          </w:tcPr>
          <w:p w14:paraId="001000D2" w14:textId="001000D3">
            <w:r>
              <w:rPr>
                <w:b/>
                <w:sz w:val="19"/>
              </w:rPr>
              <w:t xml:space="preserve">Customer legal name</w:t>
            </w:r>
          </w:p>
        </w:tc>
        <w:tc>
          <w:tcPr>
            <w:tcMar>
              <w:top w:w="60" w:type="dxa"/>
              <w:left w:w="110" w:type="dxa"/>
              <w:bottom w:w="60" w:type="dxa"/>
              <w:right w:w="110" w:type="dxa"/>
            </w:tcMar>
            <w:vAlign w:val="top"/>
          </w:tcPr>
          <w:p w14:paraId="001000D4" w14:textId="001000D5">
            <w:r>
              <w:rPr>
                <w:sz w:val="19"/>
              </w:rPr>
              <w:t xml:space="preserve">[full legal name of the Customer]</w:t>
            </w:r>
          </w:p>
        </w:tc>
      </w:tr>
      <w:tr>
        <w:trPr/>
        <w:tc>
          <w:tcPr>
            <w:shd w:val="clear" w:fill="F7F7F7"/>
            <w:tcMar>
              <w:top w:w="60" w:type="dxa"/>
              <w:left w:w="110" w:type="dxa"/>
              <w:bottom w:w="60" w:type="dxa"/>
              <w:right w:w="110" w:type="dxa"/>
            </w:tcMar>
            <w:vAlign w:val="top"/>
          </w:tcPr>
          <w:p w14:paraId="001000D6" w14:textId="001000D7">
            <w:r>
              <w:rPr>
                <w:b/>
                <w:sz w:val="19"/>
              </w:rPr>
              <w:t xml:space="preserve">Customer legal form and jurisdiction</w:t>
            </w:r>
          </w:p>
        </w:tc>
        <w:tc>
          <w:tcPr>
            <w:tcMar>
              <w:top w:w="60" w:type="dxa"/>
              <w:left w:w="110" w:type="dxa"/>
              <w:bottom w:w="60" w:type="dxa"/>
              <w:right w:w="110" w:type="dxa"/>
            </w:tcMar>
            <w:vAlign w:val="top"/>
          </w:tcPr>
          <w:p w14:paraId="001000D8" w14:textId="001000D9">
            <w:r>
              <w:rPr>
                <w:sz w:val="19"/>
              </w:rPr>
              <w:t xml:space="preserve">[e.g. limited liability company, Emirate of Dubai, UAE]</w:t>
            </w:r>
          </w:p>
        </w:tc>
      </w:tr>
      <w:tr>
        <w:trPr/>
        <w:tc>
          <w:tcPr>
            <w:shd w:val="clear" w:fill="F7F7F7"/>
            <w:tcMar>
              <w:top w:w="60" w:type="dxa"/>
              <w:left w:w="110" w:type="dxa"/>
              <w:bottom w:w="60" w:type="dxa"/>
              <w:right w:w="110" w:type="dxa"/>
            </w:tcMar>
            <w:vAlign w:val="top"/>
          </w:tcPr>
          <w:p w14:paraId="001000DA" w14:textId="001000DB">
            <w:r>
              <w:rPr>
                <w:b/>
                <w:sz w:val="19"/>
              </w:rPr>
              <w:t xml:space="preserve">Customer registered address</w:t>
            </w:r>
          </w:p>
        </w:tc>
        <w:tc>
          <w:tcPr>
            <w:tcMar>
              <w:top w:w="60" w:type="dxa"/>
              <w:left w:w="110" w:type="dxa"/>
              <w:bottom w:w="60" w:type="dxa"/>
              <w:right w:w="110" w:type="dxa"/>
            </w:tcMar>
            <w:vAlign w:val="top"/>
          </w:tcPr>
          <w:p w14:paraId="001000DC" w14:textId="001000DD">
            <w:r>
              <w:rPr>
                <w:sz w:val="19"/>
              </w:rPr>
              <w:t xml:space="preserve">[full registered address]</w:t>
            </w:r>
          </w:p>
        </w:tc>
      </w:tr>
      <w:tr>
        <w:trPr/>
        <w:tc>
          <w:tcPr>
            <w:shd w:val="clear" w:fill="F7F7F7"/>
            <w:tcMar>
              <w:top w:w="60" w:type="dxa"/>
              <w:left w:w="110" w:type="dxa"/>
              <w:bottom w:w="60" w:type="dxa"/>
              <w:right w:w="110" w:type="dxa"/>
            </w:tcMar>
            <w:vAlign w:val="top"/>
          </w:tcPr>
          <w:p w14:paraId="001000DE" w14:textId="001000DF">
            <w:r>
              <w:rPr>
                <w:b/>
                <w:sz w:val="19"/>
              </w:rPr>
              <w:t xml:space="preserve">Customer notice email</w:t>
            </w:r>
          </w:p>
        </w:tc>
        <w:tc>
          <w:tcPr>
            <w:tcMar>
              <w:top w:w="60" w:type="dxa"/>
              <w:left w:w="110" w:type="dxa"/>
              <w:bottom w:w="60" w:type="dxa"/>
              <w:right w:w="110" w:type="dxa"/>
            </w:tcMar>
            <w:vAlign w:val="top"/>
          </w:tcPr>
          <w:p w14:paraId="001000E0" w14:textId="001000E1">
            <w:r>
              <w:rPr>
                <w:sz w:val="19"/>
              </w:rPr>
              <w:t xml:space="preserve">[name@company.com]</w:t>
            </w:r>
          </w:p>
        </w:tc>
      </w:tr>
      <w:tr>
        <w:trPr/>
        <w:tc>
          <w:tcPr>
            <w:shd w:val="clear" w:fill="F7F7F7"/>
            <w:tcMar>
              <w:top w:w="60" w:type="dxa"/>
              <w:left w:w="110" w:type="dxa"/>
              <w:bottom w:w="60" w:type="dxa"/>
              <w:right w:w="110" w:type="dxa"/>
            </w:tcMar>
            <w:vAlign w:val="top"/>
          </w:tcPr>
          <w:p w14:paraId="001000E2" w14:textId="001000E3">
            <w:r>
              <w:rPr>
                <w:b/>
                <w:sz w:val="19"/>
              </w:rPr>
              <w:t xml:space="preserve">Provider notice email</w:t>
            </w:r>
          </w:p>
        </w:tc>
        <w:tc>
          <w:tcPr>
            <w:tcMar>
              <w:top w:w="60" w:type="dxa"/>
              <w:left w:w="110" w:type="dxa"/>
              <w:bottom w:w="60" w:type="dxa"/>
              <w:right w:w="110" w:type="dxa"/>
            </w:tcMar>
            <w:vAlign w:val="top"/>
          </w:tcPr>
          <w:p w14:paraId="001000E4" w14:textId="001000E5">
            <w:r>
              <w:rPr>
                <w:sz w:val="19"/>
              </w:rPr>
              <w:t xml:space="preserve">info@sitesafetyuae.com</w:t>
            </w:r>
          </w:p>
        </w:tc>
      </w:tr>
      <w:tr>
        <w:trPr/>
        <w:tc>
          <w:tcPr>
            <w:shd w:val="clear" w:fill="F7F7F7"/>
            <w:tcMar>
              <w:top w:w="60" w:type="dxa"/>
              <w:left w:w="110" w:type="dxa"/>
              <w:bottom w:w="60" w:type="dxa"/>
              <w:right w:w="110" w:type="dxa"/>
            </w:tcMar>
            <w:vAlign w:val="top"/>
          </w:tcPr>
          <w:p w14:paraId="001000E6" w14:textId="001000E7">
            <w:r>
              <w:rPr>
                <w:b/>
                <w:sz w:val="19"/>
              </w:rPr>
              <w:t xml:space="preserve">Customer administrator</w:t>
            </w:r>
          </w:p>
        </w:tc>
        <w:tc>
          <w:tcPr>
            <w:tcMar>
              <w:top w:w="60" w:type="dxa"/>
              <w:left w:w="110" w:type="dxa"/>
              <w:bottom w:w="60" w:type="dxa"/>
              <w:right w:w="110" w:type="dxa"/>
            </w:tcMar>
            <w:vAlign w:val="top"/>
          </w:tcPr>
          <w:p w14:paraId="001000E8" w14:textId="001000E9">
            <w:r>
              <w:rPr>
                <w:sz w:val="19"/>
              </w:rPr>
              <w:t xml:space="preserve">[name, job title and email address]</w:t>
            </w:r>
          </w:p>
        </w:tc>
      </w:tr>
      <w:tr>
        <w:trPr/>
        <w:tc>
          <w:tcPr>
            <w:shd w:val="clear" w:fill="F7F7F7"/>
            <w:tcMar>
              <w:top w:w="60" w:type="dxa"/>
              <w:left w:w="110" w:type="dxa"/>
              <w:bottom w:w="60" w:type="dxa"/>
              <w:right w:w="110" w:type="dxa"/>
            </w:tcMar>
            <w:vAlign w:val="top"/>
          </w:tcPr>
          <w:p w14:paraId="001000EA" w14:textId="001000EB">
            <w:r>
              <w:rPr>
                <w:b/>
                <w:sz w:val="19"/>
              </w:rPr>
              <w:t xml:space="preserve">Evaluation Workspace</w:t>
            </w:r>
          </w:p>
        </w:tc>
        <w:tc>
          <w:tcPr>
            <w:tcMar>
              <w:top w:w="60" w:type="dxa"/>
              <w:left w:w="110" w:type="dxa"/>
              <w:bottom w:w="60" w:type="dxa"/>
              <w:right w:w="110" w:type="dxa"/>
            </w:tcMar>
            <w:vAlign w:val="top"/>
          </w:tcPr>
          <w:p w14:paraId="001000EC" w14:textId="001000ED">
            <w:r>
              <w:rPr>
                <w:sz w:val="19"/>
              </w:rPr>
              <w:t xml:space="preserve">[workspace name and identifier]</w:t>
            </w:r>
          </w:p>
        </w:tc>
      </w:tr>
      <w:tr>
        <w:trPr/>
        <w:tc>
          <w:tcPr>
            <w:shd w:val="clear" w:fill="F7F7F7"/>
            <w:tcMar>
              <w:top w:w="60" w:type="dxa"/>
              <w:left w:w="110" w:type="dxa"/>
              <w:bottom w:w="60" w:type="dxa"/>
              <w:right w:w="110" w:type="dxa"/>
            </w:tcMar>
            <w:vAlign w:val="top"/>
          </w:tcPr>
          <w:p w14:paraId="001000EE" w14:textId="001000EF">
            <w:r>
              <w:rPr>
                <w:b/>
                <w:sz w:val="19"/>
              </w:rPr>
              <w:t xml:space="preserve">Evaluation environment</w:t>
            </w:r>
          </w:p>
        </w:tc>
        <w:tc>
          <w:tcPr>
            <w:tcMar>
              <w:top w:w="60" w:type="dxa"/>
              <w:left w:w="110" w:type="dxa"/>
              <w:bottom w:w="60" w:type="dxa"/>
              <w:right w:w="110" w:type="dxa"/>
            </w:tcMar>
            <w:vAlign w:val="top"/>
          </w:tcPr>
          <w:p w14:paraId="001000F0" w14:textId="001000F1">
            <w:r>
              <w:rPr>
                <w:sz w:val="19"/>
              </w:rPr>
              <w:t xml:space="preserve">[Production workspace / dedicated sandbox workspace]</w:t>
            </w:r>
          </w:p>
        </w:tc>
      </w:tr>
      <w:tr>
        <w:trPr/>
        <w:tc>
          <w:tcPr>
            <w:shd w:val="clear" w:fill="F7F7F7"/>
            <w:tcMar>
              <w:top w:w="60" w:type="dxa"/>
              <w:left w:w="110" w:type="dxa"/>
              <w:bottom w:w="60" w:type="dxa"/>
              <w:right w:w="110" w:type="dxa"/>
            </w:tcMar>
            <w:vAlign w:val="top"/>
          </w:tcPr>
          <w:p w14:paraId="001000F2" w14:textId="001000F3">
            <w:r>
              <w:rPr>
                <w:b/>
                <w:sz w:val="19"/>
              </w:rPr>
              <w:t xml:space="preserve">Licensed modules</w:t>
            </w:r>
          </w:p>
        </w:tc>
        <w:tc>
          <w:tcPr>
            <w:tcMar>
              <w:top w:w="60" w:type="dxa"/>
              <w:left w:w="110" w:type="dxa"/>
              <w:bottom w:w="60" w:type="dxa"/>
              <w:right w:w="110" w:type="dxa"/>
            </w:tcMar>
            <w:vAlign w:val="top"/>
          </w:tcPr>
          <w:p w14:paraId="001000F4" w14:textId="001000F5">
            <w:r>
              <w:rPr>
                <w:sz w:val="19"/>
              </w:rPr>
              <w:t xml:space="preserve">[All modules / modules listed in Schedule A]</w:t>
            </w:r>
          </w:p>
        </w:tc>
      </w:tr>
      <w:tr>
        <w:trPr/>
        <w:tc>
          <w:tcPr>
            <w:shd w:val="clear" w:fill="F7F7F7"/>
            <w:tcMar>
              <w:top w:w="60" w:type="dxa"/>
              <w:left w:w="110" w:type="dxa"/>
              <w:bottom w:w="60" w:type="dxa"/>
              <w:right w:w="110" w:type="dxa"/>
            </w:tcMar>
            <w:vAlign w:val="top"/>
          </w:tcPr>
          <w:p w14:paraId="001000F6" w14:textId="001000F7">
            <w:r>
              <w:rPr>
                <w:b/>
                <w:sz w:val="19"/>
              </w:rPr>
              <w:t xml:space="preserve">Active project sites</w:t>
            </w:r>
          </w:p>
        </w:tc>
        <w:tc>
          <w:tcPr>
            <w:tcMar>
              <w:top w:w="60" w:type="dxa"/>
              <w:left w:w="110" w:type="dxa"/>
              <w:bottom w:w="60" w:type="dxa"/>
              <w:right w:w="110" w:type="dxa"/>
            </w:tcMar>
            <w:vAlign w:val="top"/>
          </w:tcPr>
          <w:p w14:paraId="001000F8" w14:textId="001000F9">
            <w:r>
              <w:rPr>
                <w:sz w:val="19"/>
              </w:rPr>
              <w:t xml:space="preserve">[number] project sites</w:t>
            </w:r>
          </w:p>
        </w:tc>
      </w:tr>
      <w:tr>
        <w:trPr/>
        <w:tc>
          <w:tcPr>
            <w:shd w:val="clear" w:fill="F7F7F7"/>
            <w:tcMar>
              <w:top w:w="60" w:type="dxa"/>
              <w:left w:w="110" w:type="dxa"/>
              <w:bottom w:w="60" w:type="dxa"/>
              <w:right w:w="110" w:type="dxa"/>
            </w:tcMar>
            <w:vAlign w:val="top"/>
          </w:tcPr>
          <w:p w14:paraId="001000FA" w14:textId="001000FB">
            <w:r>
              <w:rPr>
                <w:b/>
                <w:sz w:val="19"/>
              </w:rPr>
              <w:t xml:space="preserve">Named users</w:t>
            </w:r>
          </w:p>
        </w:tc>
        <w:tc>
          <w:tcPr>
            <w:tcMar>
              <w:top w:w="60" w:type="dxa"/>
              <w:left w:w="110" w:type="dxa"/>
              <w:bottom w:w="60" w:type="dxa"/>
              <w:right w:w="110" w:type="dxa"/>
            </w:tcMar>
            <w:vAlign w:val="top"/>
          </w:tcPr>
          <w:p w14:paraId="001000FC" w14:textId="001000FD">
            <w:r>
              <w:rPr>
                <w:sz w:val="19"/>
              </w:rPr>
              <w:t xml:space="preserve">[number] named users</w:t>
            </w:r>
          </w:p>
        </w:tc>
      </w:tr>
      <w:tr>
        <w:trPr/>
        <w:tc>
          <w:tcPr>
            <w:shd w:val="clear" w:fill="F7F7F7"/>
            <w:tcMar>
              <w:top w:w="60" w:type="dxa"/>
              <w:left w:w="110" w:type="dxa"/>
              <w:bottom w:w="60" w:type="dxa"/>
              <w:right w:w="110" w:type="dxa"/>
            </w:tcMar>
            <w:vAlign w:val="top"/>
          </w:tcPr>
          <w:p w14:paraId="001000FE" w14:textId="001000FF">
            <w:r>
              <w:rPr>
                <w:b/>
                <w:sz w:val="19"/>
              </w:rPr>
              <w:t xml:space="preserve">AI assist allowance</w:t>
            </w:r>
          </w:p>
        </w:tc>
        <w:tc>
          <w:tcPr>
            <w:tcMar>
              <w:top w:w="60" w:type="dxa"/>
              <w:left w:w="110" w:type="dxa"/>
              <w:bottom w:w="60" w:type="dxa"/>
              <w:right w:w="110" w:type="dxa"/>
            </w:tcMar>
            <w:vAlign w:val="top"/>
          </w:tcPr>
          <w:p w14:paraId="00100100" w14:textId="00100101">
            <w:r>
              <w:rPr>
                <w:sz w:val="19"/>
              </w:rPr>
              <w:t xml:space="preserve">[number] AI actions per calendar month, shared across all AI tools</w:t>
            </w:r>
          </w:p>
        </w:tc>
      </w:tr>
      <w:tr>
        <w:trPr/>
        <w:tc>
          <w:tcPr>
            <w:shd w:val="clear" w:fill="F7F7F7"/>
            <w:tcMar>
              <w:top w:w="60" w:type="dxa"/>
              <w:left w:w="110" w:type="dxa"/>
              <w:bottom w:w="60" w:type="dxa"/>
              <w:right w:w="110" w:type="dxa"/>
            </w:tcMar>
            <w:vAlign w:val="top"/>
          </w:tcPr>
          <w:p w14:paraId="00100102" w14:textId="00100103">
            <w:r>
              <w:rPr>
                <w:b/>
                <w:sz w:val="19"/>
              </w:rPr>
              <w:t xml:space="preserve">Included storage</w:t>
            </w:r>
          </w:p>
        </w:tc>
        <w:tc>
          <w:tcPr>
            <w:tcMar>
              <w:top w:w="60" w:type="dxa"/>
              <w:left w:w="110" w:type="dxa"/>
              <w:bottom w:w="60" w:type="dxa"/>
              <w:right w:w="110" w:type="dxa"/>
            </w:tcMar>
            <w:vAlign w:val="top"/>
          </w:tcPr>
          <w:p w14:paraId="00100104" w14:textId="00100105">
            <w:r>
              <w:rPr>
                <w:sz w:val="19"/>
              </w:rPr>
              <w:t xml:space="preserve">[50 GB / 1 TB / other]</w:t>
            </w:r>
          </w:p>
        </w:tc>
      </w:tr>
      <w:tr>
        <w:trPr/>
        <w:tc>
          <w:tcPr>
            <w:shd w:val="clear" w:fill="F7F7F7"/>
            <w:tcMar>
              <w:top w:w="60" w:type="dxa"/>
              <w:left w:w="110" w:type="dxa"/>
              <w:bottom w:w="60" w:type="dxa"/>
              <w:right w:w="110" w:type="dxa"/>
            </w:tcMar>
            <w:vAlign w:val="top"/>
          </w:tcPr>
          <w:p w14:paraId="00100106" w14:textId="00100107">
            <w:r>
              <w:rPr>
                <w:b/>
                <w:sz w:val="19"/>
              </w:rPr>
              <w:t xml:space="preserve">Support tier</w:t>
            </w:r>
          </w:p>
        </w:tc>
        <w:tc>
          <w:tcPr>
            <w:tcMar>
              <w:top w:w="60" w:type="dxa"/>
              <w:left w:w="110" w:type="dxa"/>
              <w:bottom w:w="60" w:type="dxa"/>
              <w:right w:w="110" w:type="dxa"/>
            </w:tcMar>
            <w:vAlign w:val="top"/>
          </w:tcPr>
          <w:p w14:paraId="00100108" w14:textId="00100109">
            <w:r>
              <w:rPr>
                <w:sz w:val="19"/>
              </w:rPr>
              <w:t xml:space="preserve">Enterprise — named account contact and priority escalation</w:t>
            </w:r>
          </w:p>
        </w:tc>
      </w:tr>
      <w:tr>
        <w:trPr/>
        <w:tc>
          <w:tcPr>
            <w:shd w:val="clear" w:fill="F7F7F7"/>
            <w:tcMar>
              <w:top w:w="60" w:type="dxa"/>
              <w:left w:w="110" w:type="dxa"/>
              <w:bottom w:w="60" w:type="dxa"/>
              <w:right w:w="110" w:type="dxa"/>
            </w:tcMar>
            <w:vAlign w:val="top"/>
          </w:tcPr>
          <w:p w14:paraId="0010010A" w14:textId="0010010B">
            <w:r>
              <w:rPr>
                <w:b/>
                <w:sz w:val="19"/>
              </w:rPr>
              <w:t xml:space="preserve">Availability target</w:t>
            </w:r>
          </w:p>
        </w:tc>
        <w:tc>
          <w:tcPr>
            <w:tcMar>
              <w:top w:w="60" w:type="dxa"/>
              <w:left w:w="110" w:type="dxa"/>
              <w:bottom w:w="60" w:type="dxa"/>
              <w:right w:w="110" w:type="dxa"/>
            </w:tcMar>
            <w:vAlign w:val="top"/>
          </w:tcPr>
          <w:p w14:paraId="0010010C" w14:textId="0010010D">
            <w:r>
              <w:rPr>
                <w:sz w:val="19"/>
              </w:rPr>
              <w:t xml:space="preserve">99.9% monthly Uptime target (Schedule B)</w:t>
            </w:r>
          </w:p>
        </w:tc>
      </w:tr>
      <w:tr>
        <w:trPr/>
        <w:tc>
          <w:tcPr>
            <w:shd w:val="clear" w:fill="F7F7F7"/>
            <w:tcMar>
              <w:top w:w="60" w:type="dxa"/>
              <w:left w:w="110" w:type="dxa"/>
              <w:bottom w:w="60" w:type="dxa"/>
              <w:right w:w="110" w:type="dxa"/>
            </w:tcMar>
            <w:vAlign w:val="top"/>
          </w:tcPr>
          <w:p w14:paraId="0010010E" w14:textId="0010010F">
            <w:r>
              <w:rPr>
                <w:b/>
                <w:sz w:val="19"/>
              </w:rPr>
              <w:t xml:space="preserve">Data region</w:t>
            </w:r>
          </w:p>
        </w:tc>
        <w:tc>
          <w:tcPr>
            <w:tcMar>
              <w:top w:w="60" w:type="dxa"/>
              <w:left w:w="110" w:type="dxa"/>
              <w:bottom w:w="60" w:type="dxa"/>
              <w:right w:w="110" w:type="dxa"/>
            </w:tcMar>
            <w:vAlign w:val="top"/>
          </w:tcPr>
          <w:p w14:paraId="00100110" w14:textId="00100111">
            <w:r>
              <w:rPr>
                <w:sz w:val="19"/>
              </w:rPr>
              <w:t xml:space="preserve">[primary region, confirmed in writing under clause 11.9]</w:t>
            </w:r>
          </w:p>
        </w:tc>
      </w:tr>
      <w:tr>
        <w:trPr/>
        <w:tc>
          <w:tcPr>
            <w:shd w:val="clear" w:fill="F7F7F7"/>
            <w:tcMar>
              <w:top w:w="60" w:type="dxa"/>
              <w:left w:w="110" w:type="dxa"/>
              <w:bottom w:w="60" w:type="dxa"/>
              <w:right w:w="110" w:type="dxa"/>
            </w:tcMar>
            <w:vAlign w:val="top"/>
          </w:tcPr>
          <w:p w14:paraId="00100112" w14:textId="00100113">
            <w:r>
              <w:rPr>
                <w:b/>
                <w:sz w:val="19"/>
              </w:rPr>
              <w:t xml:space="preserve">Fees during the evaluation period</w:t>
            </w:r>
          </w:p>
        </w:tc>
        <w:tc>
          <w:tcPr>
            <w:tcMar>
              <w:top w:w="60" w:type="dxa"/>
              <w:left w:w="110" w:type="dxa"/>
              <w:bottom w:w="60" w:type="dxa"/>
              <w:right w:w="110" w:type="dxa"/>
            </w:tcMar>
            <w:vAlign w:val="top"/>
          </w:tcPr>
          <w:p w14:paraId="00100114" w14:textId="00100115">
            <w:r>
              <w:rPr>
                <w:sz w:val="19"/>
              </w:rPr>
              <w:t xml:space="preserve">[Nil / USD ### per month]</w:t>
            </w:r>
          </w:p>
        </w:tc>
      </w:tr>
      <w:tr>
        <w:trPr/>
        <w:tc>
          <w:tcPr>
            <w:shd w:val="clear" w:fill="F7F7F7"/>
            <w:tcMar>
              <w:top w:w="60" w:type="dxa"/>
              <w:left w:w="110" w:type="dxa"/>
              <w:bottom w:w="60" w:type="dxa"/>
              <w:right w:w="110" w:type="dxa"/>
            </w:tcMar>
            <w:vAlign w:val="top"/>
          </w:tcPr>
          <w:p w14:paraId="00100116" w14:textId="00100117">
            <w:r>
              <w:rPr>
                <w:b/>
                <w:sz w:val="19"/>
              </w:rPr>
              <w:t xml:space="preserve">Conversion option</w:t>
            </w:r>
          </w:p>
        </w:tc>
        <w:tc>
          <w:tcPr>
            <w:tcMar>
              <w:top w:w="60" w:type="dxa"/>
              <w:left w:w="110" w:type="dxa"/>
              <w:bottom w:w="60" w:type="dxa"/>
              <w:right w:w="110" w:type="dxa"/>
            </w:tcMar>
            <w:vAlign w:val="top"/>
          </w:tcPr>
          <w:p w14:paraId="00100118" w14:textId="00100119">
            <w:r>
              <w:rPr>
                <w:sz w:val="19"/>
              </w:rPr>
              <w:t xml:space="preserve">Enterprise subscription per the Order Form (clause 5.3)</w:t>
            </w:r>
          </w:p>
        </w:tc>
      </w:tr>
      <w:tr>
        <w:trPr/>
        <w:tc>
          <w:tcPr>
            <w:shd w:val="clear" w:fill="F7F7F7"/>
            <w:tcMar>
              <w:top w:w="60" w:type="dxa"/>
              <w:left w:w="110" w:type="dxa"/>
              <w:bottom w:w="60" w:type="dxa"/>
              <w:right w:w="110" w:type="dxa"/>
            </w:tcMar>
            <w:vAlign w:val="top"/>
          </w:tcPr>
          <w:p w14:paraId="0010011A" w14:textId="0010011B">
            <w:r>
              <w:rPr>
                <w:b/>
                <w:sz w:val="19"/>
              </w:rPr>
              <w:t xml:space="preserve">Service credit remedy</w:t>
            </w:r>
          </w:p>
        </w:tc>
        <w:tc>
          <w:tcPr>
            <w:tcMar>
              <w:top w:w="60" w:type="dxa"/>
              <w:left w:w="110" w:type="dxa"/>
              <w:bottom w:w="60" w:type="dxa"/>
              <w:right w:w="110" w:type="dxa"/>
            </w:tcMar>
            <w:vAlign w:val="top"/>
          </w:tcPr>
          <w:p w14:paraId="0010011C" w14:textId="0010011D">
            <w:r>
              <w:rPr>
                <w:sz w:val="19"/>
              </w:rPr>
              <w:t xml:space="preserve">Evaluation-period extension, or subscription credit on conversion (Schedule B)</w:t>
            </w:r>
          </w:p>
        </w:tc>
      </w:tr>
      <w:tr>
        <w:trPr/>
        <w:tc>
          <w:tcPr>
            <w:shd w:val="clear" w:fill="F7F7F7"/>
            <w:tcMar>
              <w:top w:w="60" w:type="dxa"/>
              <w:left w:w="110" w:type="dxa"/>
              <w:bottom w:w="60" w:type="dxa"/>
              <w:right w:w="110" w:type="dxa"/>
            </w:tcMar>
            <w:vAlign w:val="top"/>
          </w:tcPr>
          <w:p w14:paraId="0010011E" w14:textId="0010011F">
            <w:r>
              <w:rPr>
                <w:b/>
                <w:sz w:val="19"/>
              </w:rPr>
              <w:t xml:space="preserve">Signature method</w:t>
            </w:r>
          </w:p>
        </w:tc>
        <w:tc>
          <w:tcPr>
            <w:tcMar>
              <w:top w:w="60" w:type="dxa"/>
              <w:left w:w="110" w:type="dxa"/>
              <w:bottom w:w="60" w:type="dxa"/>
              <w:right w:w="110" w:type="dxa"/>
            </w:tcMar>
            <w:vAlign w:val="top"/>
          </w:tcPr>
          <w:p w14:paraId="00100120" w14:textId="00100121">
            <w:r>
              <w:rPr>
                <w:sz w:val="19"/>
              </w:rPr>
              <w:t xml:space="preserve">[wet ink / electronic signature]</w:t>
            </w:r>
          </w:p>
        </w:tc>
      </w:tr>
    </w:tbl>
    <w:p w14:paraId="00100122" w14:textId="00100123">
      <w:pPr>
        <w:keepNext/>
        <w:pageBreakBefore/>
        <w:spacing w:before="0" w:after="160"/>
        <w:jc w:val="left"/>
      </w:pPr>
      <w:r>
        <w:rPr>
          <w:rFonts w:ascii="Calibri" w:hAnsi="Calibri" w:eastAsia="Calibri"/>
          <w:b/>
          <w:color w:val="005A4B"/>
          <w:sz w:val="27"/>
        </w:rPr>
        <w:t xml:space="preserve">Contents</w:t>
      </w:r>
    </w:p>
    <w:tbl>
      <w:tblPr>
        <w:tblW w:w="5000" w:type="pct"/>
        <w:tblBorders>
          <w:top w:val="single" w:color="DCDCDC" w:sz="4"/>
          <w:left w:val="single" w:color="DCDCDC" w:sz="4"/>
          <w:bottom w:val="single" w:color="DCDCDC" w:sz="4"/>
          <w:right w:val="single" w:color="DCDCDC" w:sz="4"/>
          <w:insideH w:val="single" w:color="DCDCDC" w:sz="4"/>
          <w:insideV w:val="none" w:sz="4"/>
        </w:tblBorders>
      </w:tblPr>
      <w:tblGrid>
        <w:gridCol w:w="1300"/>
        <w:gridCol w:w="6800"/>
        <w:gridCol w:w="972"/>
      </w:tblGrid>
      <w:tr>
        <w:trPr/>
        <w:tc>
          <w:tcPr>
            <w:shd w:val="clear" w:fill="F0F0F0"/>
            <w:tcMar>
              <w:top w:w="30" w:type="dxa"/>
              <w:left w:w="110" w:type="dxa"/>
              <w:bottom w:w="30" w:type="dxa"/>
              <w:right w:w="110" w:type="dxa"/>
            </w:tcMar>
            <w:vAlign w:val="top"/>
          </w:tcPr>
          <w:p w14:paraId="00100124" w14:textId="00100125">
            <w:r>
              <w:rPr>
                <w:b/>
                <w:color w:val="34322D"/>
                <w:sz w:val="18"/>
              </w:rPr>
              <w:t xml:space="preserve">Clause</w:t>
            </w:r>
          </w:p>
        </w:tc>
        <w:tc>
          <w:tcPr>
            <w:shd w:val="clear" w:fill="F0F0F0"/>
            <w:tcMar>
              <w:top w:w="30" w:type="dxa"/>
              <w:left w:w="110" w:type="dxa"/>
              <w:bottom w:w="30" w:type="dxa"/>
              <w:right w:w="110" w:type="dxa"/>
            </w:tcMar>
            <w:vAlign w:val="top"/>
          </w:tcPr>
          <w:p w14:paraId="00100126" w14:textId="00100127">
            <w:r>
              <w:rPr>
                <w:b/>
                <w:color w:val="34322D"/>
                <w:sz w:val="18"/>
              </w:rPr>
              <w:t xml:space="preserve">Section</w:t>
            </w:r>
          </w:p>
        </w:tc>
        <w:tc>
          <w:tcPr>
            <w:shd w:val="clear" w:fill="F0F0F0"/>
            <w:tcMar>
              <w:top w:w="30" w:type="dxa"/>
              <w:left w:w="110" w:type="dxa"/>
              <w:bottom w:w="30" w:type="dxa"/>
              <w:right w:w="110" w:type="dxa"/>
            </w:tcMar>
            <w:vAlign w:val="top"/>
          </w:tcPr>
          <w:p w14:paraId="00100128" w14:textId="00100129">
            <w:r>
              <w:rPr>
                <w:b/>
                <w:color w:val="34322D"/>
                <w:sz w:val="18"/>
              </w:rPr>
              <w:t xml:space="preserve">Page</w:t>
            </w:r>
          </w:p>
        </w:tc>
      </w:tr>
      <w:tr>
        <w:trPr/>
        <w:tc>
          <w:tcPr>
            <w:shd w:val="clear" w:fill="F7F7F7"/>
            <w:tcMar>
              <w:top w:w="30" w:type="dxa"/>
              <w:left w:w="110" w:type="dxa"/>
              <w:bottom w:w="30" w:type="dxa"/>
              <w:right w:w="110" w:type="dxa"/>
            </w:tcMar>
            <w:vAlign w:val="top"/>
          </w:tcPr>
          <w:p w14:paraId="0010012A" w14:textId="0010012B">
            <w:r>
              <w:rPr>
                <w:b/>
                <w:sz w:val="18"/>
              </w:rPr>
              <w:t xml:space="preserve">1</w:t>
            </w:r>
          </w:p>
        </w:tc>
        <w:tc>
          <w:tcPr>
            <w:tcMar>
              <w:top w:w="30" w:type="dxa"/>
              <w:left w:w="110" w:type="dxa"/>
              <w:bottom w:w="30" w:type="dxa"/>
              <w:right w:w="110" w:type="dxa"/>
            </w:tcMar>
            <w:vAlign w:val="top"/>
          </w:tcPr>
          <w:p w14:paraId="0010012C" w14:textId="0010012D">
            <w:r>
              <w:rPr>
                <w:sz w:val="18"/>
              </w:rPr>
              <w:t xml:space="preserve">Definitions and interpretation</w:t>
            </w:r>
          </w:p>
        </w:tc>
        <w:tc>
          <w:tcPr>
            <w:tcMar>
              <w:top w:w="30" w:type="dxa"/>
              <w:left w:w="110" w:type="dxa"/>
              <w:bottom w:w="30" w:type="dxa"/>
              <w:right w:w="110" w:type="dxa"/>
            </w:tcMar>
            <w:vAlign w:val="top"/>
          </w:tcPr>
          <w:p w14:paraId="0010012E" w14:textId="0010012F">
            <w:r>
              <w:rPr>
                <w:sz w:val="18"/>
              </w:rPr>
              <w:t xml:space="preserve">6</w:t>
            </w:r>
          </w:p>
        </w:tc>
      </w:tr>
      <w:tr>
        <w:trPr/>
        <w:tc>
          <w:tcPr>
            <w:shd w:val="clear" w:fill="F7F7F7"/>
            <w:tcMar>
              <w:top w:w="30" w:type="dxa"/>
              <w:left w:w="110" w:type="dxa"/>
              <w:bottom w:w="30" w:type="dxa"/>
              <w:right w:w="110" w:type="dxa"/>
            </w:tcMar>
            <w:vAlign w:val="top"/>
          </w:tcPr>
          <w:p w14:paraId="00100130" w14:textId="00100131">
            <w:r>
              <w:rPr>
                <w:b/>
                <w:sz w:val="18"/>
              </w:rPr>
              <w:t xml:space="preserve">2</w:t>
            </w:r>
          </w:p>
        </w:tc>
        <w:tc>
          <w:tcPr>
            <w:tcMar>
              <w:top w:w="30" w:type="dxa"/>
              <w:left w:w="110" w:type="dxa"/>
              <w:bottom w:w="30" w:type="dxa"/>
              <w:right w:w="110" w:type="dxa"/>
            </w:tcMar>
            <w:vAlign w:val="top"/>
          </w:tcPr>
          <w:p w14:paraId="00100132" w14:textId="00100133">
            <w:r>
              <w:rPr>
                <w:sz w:val="18"/>
              </w:rPr>
              <w:t xml:space="preserve">Structure of this Agreement</w:t>
            </w:r>
          </w:p>
        </w:tc>
        <w:tc>
          <w:tcPr>
            <w:tcMar>
              <w:top w:w="30" w:type="dxa"/>
              <w:left w:w="110" w:type="dxa"/>
              <w:bottom w:w="30" w:type="dxa"/>
              <w:right w:w="110" w:type="dxa"/>
            </w:tcMar>
            <w:vAlign w:val="top"/>
          </w:tcPr>
          <w:p w14:paraId="00100134" w14:textId="00100135">
            <w:r>
              <w:rPr>
                <w:sz w:val="18"/>
              </w:rPr>
              <w:t xml:space="preserve">8</w:t>
            </w:r>
          </w:p>
        </w:tc>
      </w:tr>
      <w:tr>
        <w:trPr/>
        <w:tc>
          <w:tcPr>
            <w:shd w:val="clear" w:fill="F7F7F7"/>
            <w:tcMar>
              <w:top w:w="30" w:type="dxa"/>
              <w:left w:w="110" w:type="dxa"/>
              <w:bottom w:w="30" w:type="dxa"/>
              <w:right w:w="110" w:type="dxa"/>
            </w:tcMar>
            <w:vAlign w:val="top"/>
          </w:tcPr>
          <w:p w14:paraId="00100136" w14:textId="00100137">
            <w:r>
              <w:rPr>
                <w:b/>
                <w:sz w:val="18"/>
              </w:rPr>
              <w:t xml:space="preserve">3</w:t>
            </w:r>
          </w:p>
        </w:tc>
        <w:tc>
          <w:tcPr>
            <w:tcMar>
              <w:top w:w="30" w:type="dxa"/>
              <w:left w:w="110" w:type="dxa"/>
              <w:bottom w:w="30" w:type="dxa"/>
              <w:right w:w="110" w:type="dxa"/>
            </w:tcMar>
            <w:vAlign w:val="top"/>
          </w:tcPr>
          <w:p w14:paraId="00100138" w14:textId="00100139">
            <w:r>
              <w:rPr>
                <w:sz w:val="18"/>
              </w:rPr>
              <w:t xml:space="preserve">Grant of evaluation licence</w:t>
            </w:r>
          </w:p>
        </w:tc>
        <w:tc>
          <w:tcPr>
            <w:tcMar>
              <w:top w:w="30" w:type="dxa"/>
              <w:left w:w="110" w:type="dxa"/>
              <w:bottom w:w="30" w:type="dxa"/>
              <w:right w:w="110" w:type="dxa"/>
            </w:tcMar>
            <w:vAlign w:val="top"/>
          </w:tcPr>
          <w:p w14:paraId="0010013A" w14:textId="0010013B">
            <w:r>
              <w:rPr>
                <w:sz w:val="18"/>
              </w:rPr>
              <w:t xml:space="preserve">8</w:t>
            </w:r>
          </w:p>
        </w:tc>
      </w:tr>
      <w:tr>
        <w:trPr/>
        <w:tc>
          <w:tcPr>
            <w:shd w:val="clear" w:fill="F7F7F7"/>
            <w:tcMar>
              <w:top w:w="30" w:type="dxa"/>
              <w:left w:w="110" w:type="dxa"/>
              <w:bottom w:w="30" w:type="dxa"/>
              <w:right w:w="110" w:type="dxa"/>
            </w:tcMar>
            <w:vAlign w:val="top"/>
          </w:tcPr>
          <w:p w14:paraId="0010013C" w14:textId="0010013D">
            <w:r>
              <w:rPr>
                <w:b/>
                <w:sz w:val="18"/>
              </w:rPr>
              <w:t xml:space="preserve">4</w:t>
            </w:r>
          </w:p>
        </w:tc>
        <w:tc>
          <w:tcPr>
            <w:tcMar>
              <w:top w:w="30" w:type="dxa"/>
              <w:left w:w="110" w:type="dxa"/>
              <w:bottom w:w="30" w:type="dxa"/>
              <w:right w:w="110" w:type="dxa"/>
            </w:tcMar>
            <w:vAlign w:val="top"/>
          </w:tcPr>
          <w:p w14:paraId="0010013E" w14:textId="0010013F">
            <w:r>
              <w:rPr>
                <w:sz w:val="18"/>
              </w:rPr>
              <w:t xml:space="preserve">Access, provisioning and user administration</w:t>
            </w:r>
          </w:p>
        </w:tc>
        <w:tc>
          <w:tcPr>
            <w:tcMar>
              <w:top w:w="30" w:type="dxa"/>
              <w:left w:w="110" w:type="dxa"/>
              <w:bottom w:w="30" w:type="dxa"/>
              <w:right w:w="110" w:type="dxa"/>
            </w:tcMar>
            <w:vAlign w:val="top"/>
          </w:tcPr>
          <w:p w14:paraId="00100140" w14:textId="00100141">
            <w:r>
              <w:rPr>
                <w:sz w:val="18"/>
              </w:rPr>
              <w:t xml:space="preserve">9</w:t>
            </w:r>
          </w:p>
        </w:tc>
      </w:tr>
      <w:tr>
        <w:trPr/>
        <w:tc>
          <w:tcPr>
            <w:shd w:val="clear" w:fill="F7F7F7"/>
            <w:tcMar>
              <w:top w:w="30" w:type="dxa"/>
              <w:left w:w="110" w:type="dxa"/>
              <w:bottom w:w="30" w:type="dxa"/>
              <w:right w:w="110" w:type="dxa"/>
            </w:tcMar>
            <w:vAlign w:val="top"/>
          </w:tcPr>
          <w:p w14:paraId="00100142" w14:textId="00100143">
            <w:r>
              <w:rPr>
                <w:b/>
                <w:sz w:val="18"/>
              </w:rPr>
              <w:t xml:space="preserve">5</w:t>
            </w:r>
          </w:p>
        </w:tc>
        <w:tc>
          <w:tcPr>
            <w:tcMar>
              <w:top w:w="30" w:type="dxa"/>
              <w:left w:w="110" w:type="dxa"/>
              <w:bottom w:w="30" w:type="dxa"/>
              <w:right w:w="110" w:type="dxa"/>
            </w:tcMar>
            <w:vAlign w:val="top"/>
          </w:tcPr>
          <w:p w14:paraId="00100144" w14:textId="00100145">
            <w:r>
              <w:rPr>
                <w:sz w:val="18"/>
              </w:rPr>
              <w:t xml:space="preserve">Evaluation period, extension and conversion</w:t>
            </w:r>
          </w:p>
        </w:tc>
        <w:tc>
          <w:tcPr>
            <w:tcMar>
              <w:top w:w="30" w:type="dxa"/>
              <w:left w:w="110" w:type="dxa"/>
              <w:bottom w:w="30" w:type="dxa"/>
              <w:right w:w="110" w:type="dxa"/>
            </w:tcMar>
            <w:vAlign w:val="top"/>
          </w:tcPr>
          <w:p w14:paraId="00100146" w14:textId="00100147">
            <w:r>
              <w:rPr>
                <w:sz w:val="18"/>
              </w:rPr>
              <w:t xml:space="preserve">10</w:t>
            </w:r>
          </w:p>
        </w:tc>
      </w:tr>
      <w:tr>
        <w:trPr/>
        <w:tc>
          <w:tcPr>
            <w:shd w:val="clear" w:fill="F7F7F7"/>
            <w:tcMar>
              <w:top w:w="30" w:type="dxa"/>
              <w:left w:w="110" w:type="dxa"/>
              <w:bottom w:w="30" w:type="dxa"/>
              <w:right w:w="110" w:type="dxa"/>
            </w:tcMar>
            <w:vAlign w:val="top"/>
          </w:tcPr>
          <w:p w14:paraId="00100148" w14:textId="00100149">
            <w:r>
              <w:rPr>
                <w:b/>
                <w:sz w:val="18"/>
              </w:rPr>
              <w:t xml:space="preserve">6</w:t>
            </w:r>
          </w:p>
        </w:tc>
        <w:tc>
          <w:tcPr>
            <w:tcMar>
              <w:top w:w="30" w:type="dxa"/>
              <w:left w:w="110" w:type="dxa"/>
              <w:bottom w:w="30" w:type="dxa"/>
              <w:right w:w="110" w:type="dxa"/>
            </w:tcMar>
            <w:vAlign w:val="top"/>
          </w:tcPr>
          <w:p w14:paraId="0010014A" w14:textId="0010014B">
            <w:r>
              <w:rPr>
                <w:sz w:val="18"/>
              </w:rPr>
              <w:t xml:space="preserve">Fees, payment and taxes</w:t>
            </w:r>
          </w:p>
        </w:tc>
        <w:tc>
          <w:tcPr>
            <w:tcMar>
              <w:top w:w="30" w:type="dxa"/>
              <w:left w:w="110" w:type="dxa"/>
              <w:bottom w:w="30" w:type="dxa"/>
              <w:right w:w="110" w:type="dxa"/>
            </w:tcMar>
            <w:vAlign w:val="top"/>
          </w:tcPr>
          <w:p w14:paraId="0010014C" w14:textId="0010014D">
            <w:r>
              <w:rPr>
                <w:sz w:val="18"/>
              </w:rPr>
              <w:t xml:space="preserve">11</w:t>
            </w:r>
          </w:p>
        </w:tc>
      </w:tr>
      <w:tr>
        <w:trPr/>
        <w:tc>
          <w:tcPr>
            <w:shd w:val="clear" w:fill="F7F7F7"/>
            <w:tcMar>
              <w:top w:w="30" w:type="dxa"/>
              <w:left w:w="110" w:type="dxa"/>
              <w:bottom w:w="30" w:type="dxa"/>
              <w:right w:w="110" w:type="dxa"/>
            </w:tcMar>
            <w:vAlign w:val="top"/>
          </w:tcPr>
          <w:p w14:paraId="0010014E" w14:textId="0010014F">
            <w:r>
              <w:rPr>
                <w:b/>
                <w:sz w:val="18"/>
              </w:rPr>
              <w:t xml:space="preserve">7</w:t>
            </w:r>
          </w:p>
        </w:tc>
        <w:tc>
          <w:tcPr>
            <w:tcMar>
              <w:top w:w="30" w:type="dxa"/>
              <w:left w:w="110" w:type="dxa"/>
              <w:bottom w:w="30" w:type="dxa"/>
              <w:right w:w="110" w:type="dxa"/>
            </w:tcMar>
            <w:vAlign w:val="top"/>
          </w:tcPr>
          <w:p w14:paraId="00100150" w14:textId="00100151">
            <w:r>
              <w:rPr>
                <w:sz w:val="18"/>
              </w:rPr>
              <w:t xml:space="preserve">Service availability target</w:t>
            </w:r>
          </w:p>
        </w:tc>
        <w:tc>
          <w:tcPr>
            <w:tcMar>
              <w:top w:w="30" w:type="dxa"/>
              <w:left w:w="110" w:type="dxa"/>
              <w:bottom w:w="30" w:type="dxa"/>
              <w:right w:w="110" w:type="dxa"/>
            </w:tcMar>
            <w:vAlign w:val="top"/>
          </w:tcPr>
          <w:p w14:paraId="00100152" w14:textId="00100153">
            <w:r>
              <w:rPr>
                <w:sz w:val="18"/>
              </w:rPr>
              <w:t xml:space="preserve">12</w:t>
            </w:r>
          </w:p>
        </w:tc>
      </w:tr>
      <w:tr>
        <w:trPr/>
        <w:tc>
          <w:tcPr>
            <w:shd w:val="clear" w:fill="F7F7F7"/>
            <w:tcMar>
              <w:top w:w="30" w:type="dxa"/>
              <w:left w:w="110" w:type="dxa"/>
              <w:bottom w:w="30" w:type="dxa"/>
              <w:right w:w="110" w:type="dxa"/>
            </w:tcMar>
            <w:vAlign w:val="top"/>
          </w:tcPr>
          <w:p w14:paraId="00100154" w14:textId="00100155">
            <w:r>
              <w:rPr>
                <w:b/>
                <w:sz w:val="18"/>
              </w:rPr>
              <w:t xml:space="preserve">8</w:t>
            </w:r>
          </w:p>
        </w:tc>
        <w:tc>
          <w:tcPr>
            <w:tcMar>
              <w:top w:w="30" w:type="dxa"/>
              <w:left w:w="110" w:type="dxa"/>
              <w:bottom w:w="30" w:type="dxa"/>
              <w:right w:w="110" w:type="dxa"/>
            </w:tcMar>
            <w:vAlign w:val="top"/>
          </w:tcPr>
          <w:p w14:paraId="00100156" w14:textId="00100157">
            <w:r>
              <w:rPr>
                <w:sz w:val="18"/>
              </w:rPr>
              <w:t xml:space="preserve">Support and escalation</w:t>
            </w:r>
          </w:p>
        </w:tc>
        <w:tc>
          <w:tcPr>
            <w:tcMar>
              <w:top w:w="30" w:type="dxa"/>
              <w:left w:w="110" w:type="dxa"/>
              <w:bottom w:w="30" w:type="dxa"/>
              <w:right w:w="110" w:type="dxa"/>
            </w:tcMar>
            <w:vAlign w:val="top"/>
          </w:tcPr>
          <w:p w14:paraId="00100158" w14:textId="00100159">
            <w:r>
              <w:rPr>
                <w:sz w:val="18"/>
              </w:rPr>
              <w:t xml:space="preserve">12</w:t>
            </w:r>
          </w:p>
        </w:tc>
      </w:tr>
      <w:tr>
        <w:trPr/>
        <w:tc>
          <w:tcPr>
            <w:shd w:val="clear" w:fill="F7F7F7"/>
            <w:tcMar>
              <w:top w:w="30" w:type="dxa"/>
              <w:left w:w="110" w:type="dxa"/>
              <w:bottom w:w="30" w:type="dxa"/>
              <w:right w:w="110" w:type="dxa"/>
            </w:tcMar>
            <w:vAlign w:val="top"/>
          </w:tcPr>
          <w:p w14:paraId="0010015A" w14:textId="0010015B">
            <w:r>
              <w:rPr>
                <w:b/>
                <w:sz w:val="18"/>
              </w:rPr>
              <w:t xml:space="preserve">9</w:t>
            </w:r>
          </w:p>
        </w:tc>
        <w:tc>
          <w:tcPr>
            <w:tcMar>
              <w:top w:w="30" w:type="dxa"/>
              <w:left w:w="110" w:type="dxa"/>
              <w:bottom w:w="30" w:type="dxa"/>
              <w:right w:w="110" w:type="dxa"/>
            </w:tcMar>
            <w:vAlign w:val="top"/>
          </w:tcPr>
          <w:p w14:paraId="0010015C" w14:textId="0010015D">
            <w:r>
              <w:rPr>
                <w:sz w:val="18"/>
              </w:rPr>
              <w:t xml:space="preserve">Disaster recovery, backup and continuity</w:t>
            </w:r>
          </w:p>
        </w:tc>
        <w:tc>
          <w:tcPr>
            <w:tcMar>
              <w:top w:w="30" w:type="dxa"/>
              <w:left w:w="110" w:type="dxa"/>
              <w:bottom w:w="30" w:type="dxa"/>
              <w:right w:w="110" w:type="dxa"/>
            </w:tcMar>
            <w:vAlign w:val="top"/>
          </w:tcPr>
          <w:p w14:paraId="0010015E" w14:textId="0010015F">
            <w:r>
              <w:rPr>
                <w:sz w:val="18"/>
              </w:rPr>
              <w:t xml:space="preserve">13</w:t>
            </w:r>
          </w:p>
        </w:tc>
      </w:tr>
      <w:tr>
        <w:trPr/>
        <w:tc>
          <w:tcPr>
            <w:shd w:val="clear" w:fill="F7F7F7"/>
            <w:tcMar>
              <w:top w:w="30" w:type="dxa"/>
              <w:left w:w="110" w:type="dxa"/>
              <w:bottom w:w="30" w:type="dxa"/>
              <w:right w:w="110" w:type="dxa"/>
            </w:tcMar>
            <w:vAlign w:val="top"/>
          </w:tcPr>
          <w:p w14:paraId="00100160" w14:textId="00100161">
            <w:r>
              <w:rPr>
                <w:b/>
                <w:sz w:val="18"/>
              </w:rPr>
              <w:t xml:space="preserve">10</w:t>
            </w:r>
          </w:p>
        </w:tc>
        <w:tc>
          <w:tcPr>
            <w:tcMar>
              <w:top w:w="30" w:type="dxa"/>
              <w:left w:w="110" w:type="dxa"/>
              <w:bottom w:w="30" w:type="dxa"/>
              <w:right w:w="110" w:type="dxa"/>
            </w:tcMar>
            <w:vAlign w:val="top"/>
          </w:tcPr>
          <w:p w14:paraId="00100162" w14:textId="00100163">
            <w:r>
              <w:rPr>
                <w:sz w:val="18"/>
              </w:rPr>
              <w:t xml:space="preserve">Security and assurance</w:t>
            </w:r>
          </w:p>
        </w:tc>
        <w:tc>
          <w:tcPr>
            <w:tcMar>
              <w:top w:w="30" w:type="dxa"/>
              <w:left w:w="110" w:type="dxa"/>
              <w:bottom w:w="30" w:type="dxa"/>
              <w:right w:w="110" w:type="dxa"/>
            </w:tcMar>
            <w:vAlign w:val="top"/>
          </w:tcPr>
          <w:p w14:paraId="00100164" w14:textId="00100165">
            <w:r>
              <w:rPr>
                <w:sz w:val="18"/>
              </w:rPr>
              <w:t xml:space="preserve">14</w:t>
            </w:r>
          </w:p>
        </w:tc>
      </w:tr>
      <w:tr>
        <w:trPr/>
        <w:tc>
          <w:tcPr>
            <w:shd w:val="clear" w:fill="F7F7F7"/>
            <w:tcMar>
              <w:top w:w="30" w:type="dxa"/>
              <w:left w:w="110" w:type="dxa"/>
              <w:bottom w:w="30" w:type="dxa"/>
              <w:right w:w="110" w:type="dxa"/>
            </w:tcMar>
            <w:vAlign w:val="top"/>
          </w:tcPr>
          <w:p w14:paraId="00100166" w14:textId="00100167">
            <w:r>
              <w:rPr>
                <w:b/>
                <w:sz w:val="18"/>
              </w:rPr>
              <w:t xml:space="preserve">11</w:t>
            </w:r>
          </w:p>
        </w:tc>
        <w:tc>
          <w:tcPr>
            <w:tcMar>
              <w:top w:w="30" w:type="dxa"/>
              <w:left w:w="110" w:type="dxa"/>
              <w:bottom w:w="30" w:type="dxa"/>
              <w:right w:w="110" w:type="dxa"/>
            </w:tcMar>
            <w:vAlign w:val="top"/>
          </w:tcPr>
          <w:p w14:paraId="00100168" w14:textId="00100169">
            <w:r>
              <w:rPr>
                <w:sz w:val="18"/>
              </w:rPr>
              <w:t xml:space="preserve">Data protection</w:t>
            </w:r>
          </w:p>
        </w:tc>
        <w:tc>
          <w:tcPr>
            <w:tcMar>
              <w:top w:w="30" w:type="dxa"/>
              <w:left w:w="110" w:type="dxa"/>
              <w:bottom w:w="30" w:type="dxa"/>
              <w:right w:w="110" w:type="dxa"/>
            </w:tcMar>
            <w:vAlign w:val="top"/>
          </w:tcPr>
          <w:p w14:paraId="0010016A" w14:textId="0010016B">
            <w:r>
              <w:rPr>
                <w:sz w:val="18"/>
              </w:rPr>
              <w:t xml:space="preserve">15</w:t>
            </w:r>
          </w:p>
        </w:tc>
      </w:tr>
      <w:tr>
        <w:trPr/>
        <w:tc>
          <w:tcPr>
            <w:shd w:val="clear" w:fill="F7F7F7"/>
            <w:tcMar>
              <w:top w:w="30" w:type="dxa"/>
              <w:left w:w="110" w:type="dxa"/>
              <w:bottom w:w="30" w:type="dxa"/>
              <w:right w:w="110" w:type="dxa"/>
            </w:tcMar>
            <w:vAlign w:val="top"/>
          </w:tcPr>
          <w:p w14:paraId="0010016C" w14:textId="0010016D">
            <w:r>
              <w:rPr>
                <w:b/>
                <w:sz w:val="18"/>
              </w:rPr>
              <w:t xml:space="preserve">12</w:t>
            </w:r>
          </w:p>
        </w:tc>
        <w:tc>
          <w:tcPr>
            <w:tcMar>
              <w:top w:w="30" w:type="dxa"/>
              <w:left w:w="110" w:type="dxa"/>
              <w:bottom w:w="30" w:type="dxa"/>
              <w:right w:w="110" w:type="dxa"/>
            </w:tcMar>
            <w:vAlign w:val="top"/>
          </w:tcPr>
          <w:p w14:paraId="0010016E" w14:textId="0010016F">
            <w:r>
              <w:rPr>
                <w:sz w:val="18"/>
              </w:rPr>
              <w:t xml:space="preserve">AI-assisted features</w:t>
            </w:r>
          </w:p>
        </w:tc>
        <w:tc>
          <w:tcPr>
            <w:tcMar>
              <w:top w:w="30" w:type="dxa"/>
              <w:left w:w="110" w:type="dxa"/>
              <w:bottom w:w="30" w:type="dxa"/>
              <w:right w:w="110" w:type="dxa"/>
            </w:tcMar>
            <w:vAlign w:val="top"/>
          </w:tcPr>
          <w:p w14:paraId="00100170" w14:textId="00100171">
            <w:r>
              <w:rPr>
                <w:sz w:val="18"/>
              </w:rPr>
              <w:t xml:space="preserve">16</w:t>
            </w:r>
          </w:p>
        </w:tc>
      </w:tr>
      <w:tr>
        <w:trPr/>
        <w:tc>
          <w:tcPr>
            <w:shd w:val="clear" w:fill="F7F7F7"/>
            <w:tcMar>
              <w:top w:w="30" w:type="dxa"/>
              <w:left w:w="110" w:type="dxa"/>
              <w:bottom w:w="30" w:type="dxa"/>
              <w:right w:w="110" w:type="dxa"/>
            </w:tcMar>
            <w:vAlign w:val="top"/>
          </w:tcPr>
          <w:p w14:paraId="00100172" w14:textId="00100173">
            <w:r>
              <w:rPr>
                <w:b/>
                <w:sz w:val="18"/>
              </w:rPr>
              <w:t xml:space="preserve">13</w:t>
            </w:r>
          </w:p>
        </w:tc>
        <w:tc>
          <w:tcPr>
            <w:tcMar>
              <w:top w:w="30" w:type="dxa"/>
              <w:left w:w="110" w:type="dxa"/>
              <w:bottom w:w="30" w:type="dxa"/>
              <w:right w:w="110" w:type="dxa"/>
            </w:tcMar>
            <w:vAlign w:val="top"/>
          </w:tcPr>
          <w:p w14:paraId="00100174" w14:textId="00100175">
            <w:r>
              <w:rPr>
                <w:sz w:val="18"/>
              </w:rPr>
              <w:t xml:space="preserve">Customer Content and intellectual property</w:t>
            </w:r>
          </w:p>
        </w:tc>
        <w:tc>
          <w:tcPr>
            <w:tcMar>
              <w:top w:w="30" w:type="dxa"/>
              <w:left w:w="110" w:type="dxa"/>
              <w:bottom w:w="30" w:type="dxa"/>
              <w:right w:w="110" w:type="dxa"/>
            </w:tcMar>
            <w:vAlign w:val="top"/>
          </w:tcPr>
          <w:p w14:paraId="00100176" w14:textId="00100177">
            <w:r>
              <w:rPr>
                <w:sz w:val="18"/>
              </w:rPr>
              <w:t xml:space="preserve">17</w:t>
            </w:r>
          </w:p>
        </w:tc>
      </w:tr>
      <w:tr>
        <w:trPr/>
        <w:tc>
          <w:tcPr>
            <w:shd w:val="clear" w:fill="F7F7F7"/>
            <w:tcMar>
              <w:top w:w="30" w:type="dxa"/>
              <w:left w:w="110" w:type="dxa"/>
              <w:bottom w:w="30" w:type="dxa"/>
              <w:right w:w="110" w:type="dxa"/>
            </w:tcMar>
            <w:vAlign w:val="top"/>
          </w:tcPr>
          <w:p w14:paraId="00100178" w14:textId="00100179">
            <w:r>
              <w:rPr>
                <w:b/>
                <w:sz w:val="18"/>
              </w:rPr>
              <w:t xml:space="preserve">14</w:t>
            </w:r>
          </w:p>
        </w:tc>
        <w:tc>
          <w:tcPr>
            <w:tcMar>
              <w:top w:w="30" w:type="dxa"/>
              <w:left w:w="110" w:type="dxa"/>
              <w:bottom w:w="30" w:type="dxa"/>
              <w:right w:w="110" w:type="dxa"/>
            </w:tcMar>
            <w:vAlign w:val="top"/>
          </w:tcPr>
          <w:p w14:paraId="0010017A" w14:textId="0010017B">
            <w:r>
              <w:rPr>
                <w:sz w:val="18"/>
              </w:rPr>
              <w:t xml:space="preserve">Confidentiality</w:t>
            </w:r>
          </w:p>
        </w:tc>
        <w:tc>
          <w:tcPr>
            <w:tcMar>
              <w:top w:w="30" w:type="dxa"/>
              <w:left w:w="110" w:type="dxa"/>
              <w:bottom w:w="30" w:type="dxa"/>
              <w:right w:w="110" w:type="dxa"/>
            </w:tcMar>
            <w:vAlign w:val="top"/>
          </w:tcPr>
          <w:p w14:paraId="0010017C" w14:textId="0010017D">
            <w:r>
              <w:rPr>
                <w:sz w:val="18"/>
              </w:rPr>
              <w:t xml:space="preserve">17</w:t>
            </w:r>
          </w:p>
        </w:tc>
      </w:tr>
      <w:tr>
        <w:trPr/>
        <w:tc>
          <w:tcPr>
            <w:shd w:val="clear" w:fill="F7F7F7"/>
            <w:tcMar>
              <w:top w:w="30" w:type="dxa"/>
              <w:left w:w="110" w:type="dxa"/>
              <w:bottom w:w="30" w:type="dxa"/>
              <w:right w:w="110" w:type="dxa"/>
            </w:tcMar>
            <w:vAlign w:val="top"/>
          </w:tcPr>
          <w:p w14:paraId="0010017E" w14:textId="0010017F">
            <w:r>
              <w:rPr>
                <w:b/>
                <w:sz w:val="18"/>
              </w:rPr>
              <w:t xml:space="preserve">15</w:t>
            </w:r>
          </w:p>
        </w:tc>
        <w:tc>
          <w:tcPr>
            <w:tcMar>
              <w:top w:w="30" w:type="dxa"/>
              <w:left w:w="110" w:type="dxa"/>
              <w:bottom w:w="30" w:type="dxa"/>
              <w:right w:w="110" w:type="dxa"/>
            </w:tcMar>
            <w:vAlign w:val="top"/>
          </w:tcPr>
          <w:p w14:paraId="00100180" w14:textId="00100181">
            <w:r>
              <w:rPr>
                <w:sz w:val="18"/>
              </w:rPr>
              <w:t xml:space="preserve">Service changes and roadmap</w:t>
            </w:r>
          </w:p>
        </w:tc>
        <w:tc>
          <w:tcPr>
            <w:tcMar>
              <w:top w:w="30" w:type="dxa"/>
              <w:left w:w="110" w:type="dxa"/>
              <w:bottom w:w="30" w:type="dxa"/>
              <w:right w:w="110" w:type="dxa"/>
            </w:tcMar>
            <w:vAlign w:val="top"/>
          </w:tcPr>
          <w:p w14:paraId="00100182" w14:textId="00100183">
            <w:r>
              <w:rPr>
                <w:sz w:val="18"/>
              </w:rPr>
              <w:t xml:space="preserve">18</w:t>
            </w:r>
          </w:p>
        </w:tc>
      </w:tr>
      <w:tr>
        <w:trPr/>
        <w:tc>
          <w:tcPr>
            <w:shd w:val="clear" w:fill="F7F7F7"/>
            <w:tcMar>
              <w:top w:w="30" w:type="dxa"/>
              <w:left w:w="110" w:type="dxa"/>
              <w:bottom w:w="30" w:type="dxa"/>
              <w:right w:w="110" w:type="dxa"/>
            </w:tcMar>
            <w:vAlign w:val="top"/>
          </w:tcPr>
          <w:p w14:paraId="00100184" w14:textId="00100185">
            <w:r>
              <w:rPr>
                <w:b/>
                <w:sz w:val="18"/>
              </w:rPr>
              <w:t xml:space="preserve">16</w:t>
            </w:r>
          </w:p>
        </w:tc>
        <w:tc>
          <w:tcPr>
            <w:tcMar>
              <w:top w:w="30" w:type="dxa"/>
              <w:left w:w="110" w:type="dxa"/>
              <w:bottom w:w="30" w:type="dxa"/>
              <w:right w:w="110" w:type="dxa"/>
            </w:tcMar>
            <w:vAlign w:val="top"/>
          </w:tcPr>
          <w:p w14:paraId="00100186" w14:textId="00100187">
            <w:r>
              <w:rPr>
                <w:sz w:val="18"/>
              </w:rPr>
              <w:t xml:space="preserve">Suspension</w:t>
            </w:r>
          </w:p>
        </w:tc>
        <w:tc>
          <w:tcPr>
            <w:tcMar>
              <w:top w:w="30" w:type="dxa"/>
              <w:left w:w="110" w:type="dxa"/>
              <w:bottom w:w="30" w:type="dxa"/>
              <w:right w:w="110" w:type="dxa"/>
            </w:tcMar>
            <w:vAlign w:val="top"/>
          </w:tcPr>
          <w:p w14:paraId="00100188" w14:textId="00100189">
            <w:r>
              <w:rPr>
                <w:sz w:val="18"/>
              </w:rPr>
              <w:t xml:space="preserve">18</w:t>
            </w:r>
          </w:p>
        </w:tc>
      </w:tr>
      <w:tr>
        <w:trPr/>
        <w:tc>
          <w:tcPr>
            <w:shd w:val="clear" w:fill="F7F7F7"/>
            <w:tcMar>
              <w:top w:w="30" w:type="dxa"/>
              <w:left w:w="110" w:type="dxa"/>
              <w:bottom w:w="30" w:type="dxa"/>
              <w:right w:w="110" w:type="dxa"/>
            </w:tcMar>
            <w:vAlign w:val="top"/>
          </w:tcPr>
          <w:p w14:paraId="0010018A" w14:textId="0010018B">
            <w:r>
              <w:rPr>
                <w:b/>
                <w:sz w:val="18"/>
              </w:rPr>
              <w:t xml:space="preserve">17</w:t>
            </w:r>
          </w:p>
        </w:tc>
        <w:tc>
          <w:tcPr>
            <w:tcMar>
              <w:top w:w="30" w:type="dxa"/>
              <w:left w:w="110" w:type="dxa"/>
              <w:bottom w:w="30" w:type="dxa"/>
              <w:right w:w="110" w:type="dxa"/>
            </w:tcMar>
            <w:vAlign w:val="top"/>
          </w:tcPr>
          <w:p w14:paraId="0010018C" w14:textId="0010018D">
            <w:r>
              <w:rPr>
                <w:sz w:val="18"/>
              </w:rPr>
              <w:t xml:space="preserve">Term and termination</w:t>
            </w:r>
          </w:p>
        </w:tc>
        <w:tc>
          <w:tcPr>
            <w:tcMar>
              <w:top w:w="30" w:type="dxa"/>
              <w:left w:w="110" w:type="dxa"/>
              <w:bottom w:w="30" w:type="dxa"/>
              <w:right w:w="110" w:type="dxa"/>
            </w:tcMar>
            <w:vAlign w:val="top"/>
          </w:tcPr>
          <w:p w14:paraId="0010018E" w14:textId="0010018F">
            <w:r>
              <w:rPr>
                <w:sz w:val="18"/>
              </w:rPr>
              <w:t xml:space="preserve">19</w:t>
            </w:r>
          </w:p>
        </w:tc>
      </w:tr>
      <w:tr>
        <w:trPr/>
        <w:tc>
          <w:tcPr>
            <w:shd w:val="clear" w:fill="F7F7F7"/>
            <w:tcMar>
              <w:top w:w="30" w:type="dxa"/>
              <w:left w:w="110" w:type="dxa"/>
              <w:bottom w:w="30" w:type="dxa"/>
              <w:right w:w="110" w:type="dxa"/>
            </w:tcMar>
            <w:vAlign w:val="top"/>
          </w:tcPr>
          <w:p w14:paraId="00100190" w14:textId="00100191">
            <w:r>
              <w:rPr>
                <w:b/>
                <w:sz w:val="18"/>
              </w:rPr>
              <w:t xml:space="preserve">18</w:t>
            </w:r>
          </w:p>
        </w:tc>
        <w:tc>
          <w:tcPr>
            <w:tcMar>
              <w:top w:w="30" w:type="dxa"/>
              <w:left w:w="110" w:type="dxa"/>
              <w:bottom w:w="30" w:type="dxa"/>
              <w:right w:w="110" w:type="dxa"/>
            </w:tcMar>
            <w:vAlign w:val="top"/>
          </w:tcPr>
          <w:p w14:paraId="00100192" w14:textId="00100193">
            <w:r>
              <w:rPr>
                <w:sz w:val="18"/>
              </w:rPr>
              <w:t xml:space="preserve">Consequences of termination</w:t>
            </w:r>
          </w:p>
        </w:tc>
        <w:tc>
          <w:tcPr>
            <w:tcMar>
              <w:top w:w="30" w:type="dxa"/>
              <w:left w:w="110" w:type="dxa"/>
              <w:bottom w:w="30" w:type="dxa"/>
              <w:right w:w="110" w:type="dxa"/>
            </w:tcMar>
            <w:vAlign w:val="top"/>
          </w:tcPr>
          <w:p w14:paraId="00100194" w14:textId="00100195">
            <w:r>
              <w:rPr>
                <w:sz w:val="18"/>
              </w:rPr>
              <w:t xml:space="preserve">19</w:t>
            </w:r>
          </w:p>
        </w:tc>
      </w:tr>
      <w:tr>
        <w:trPr/>
        <w:tc>
          <w:tcPr>
            <w:shd w:val="clear" w:fill="F7F7F7"/>
            <w:tcMar>
              <w:top w:w="30" w:type="dxa"/>
              <w:left w:w="110" w:type="dxa"/>
              <w:bottom w:w="30" w:type="dxa"/>
              <w:right w:w="110" w:type="dxa"/>
            </w:tcMar>
            <w:vAlign w:val="top"/>
          </w:tcPr>
          <w:p w14:paraId="00100196" w14:textId="00100197">
            <w:r>
              <w:rPr>
                <w:b/>
                <w:sz w:val="18"/>
              </w:rPr>
              <w:t xml:space="preserve">19</w:t>
            </w:r>
          </w:p>
        </w:tc>
        <w:tc>
          <w:tcPr>
            <w:tcMar>
              <w:top w:w="30" w:type="dxa"/>
              <w:left w:w="110" w:type="dxa"/>
              <w:bottom w:w="30" w:type="dxa"/>
              <w:right w:w="110" w:type="dxa"/>
            </w:tcMar>
            <w:vAlign w:val="top"/>
          </w:tcPr>
          <w:p w14:paraId="00100198" w14:textId="00100199">
            <w:r>
              <w:rPr>
                <w:sz w:val="18"/>
              </w:rPr>
              <w:t xml:space="preserve">Warranties and disclaimers</w:t>
            </w:r>
          </w:p>
        </w:tc>
        <w:tc>
          <w:tcPr>
            <w:tcMar>
              <w:top w:w="30" w:type="dxa"/>
              <w:left w:w="110" w:type="dxa"/>
              <w:bottom w:w="30" w:type="dxa"/>
              <w:right w:w="110" w:type="dxa"/>
            </w:tcMar>
            <w:vAlign w:val="top"/>
          </w:tcPr>
          <w:p w14:paraId="0010019A" w14:textId="0010019B">
            <w:r>
              <w:rPr>
                <w:sz w:val="18"/>
              </w:rPr>
              <w:t xml:space="preserve">20</w:t>
            </w:r>
          </w:p>
        </w:tc>
      </w:tr>
      <w:tr>
        <w:trPr/>
        <w:tc>
          <w:tcPr>
            <w:shd w:val="clear" w:fill="F7F7F7"/>
            <w:tcMar>
              <w:top w:w="30" w:type="dxa"/>
              <w:left w:w="110" w:type="dxa"/>
              <w:bottom w:w="30" w:type="dxa"/>
              <w:right w:w="110" w:type="dxa"/>
            </w:tcMar>
            <w:vAlign w:val="top"/>
          </w:tcPr>
          <w:p w14:paraId="0010019C" w14:textId="0010019D">
            <w:r>
              <w:rPr>
                <w:b/>
                <w:sz w:val="18"/>
              </w:rPr>
              <w:t xml:space="preserve">20</w:t>
            </w:r>
          </w:p>
        </w:tc>
        <w:tc>
          <w:tcPr>
            <w:tcMar>
              <w:top w:w="30" w:type="dxa"/>
              <w:left w:w="110" w:type="dxa"/>
              <w:bottom w:w="30" w:type="dxa"/>
              <w:right w:w="110" w:type="dxa"/>
            </w:tcMar>
            <w:vAlign w:val="top"/>
          </w:tcPr>
          <w:p w14:paraId="0010019E" w14:textId="0010019F">
            <w:r>
              <w:rPr>
                <w:sz w:val="18"/>
              </w:rPr>
              <w:t xml:space="preserve">Limitation of liability</w:t>
            </w:r>
          </w:p>
        </w:tc>
        <w:tc>
          <w:tcPr>
            <w:tcMar>
              <w:top w:w="30" w:type="dxa"/>
              <w:left w:w="110" w:type="dxa"/>
              <w:bottom w:w="30" w:type="dxa"/>
              <w:right w:w="110" w:type="dxa"/>
            </w:tcMar>
            <w:vAlign w:val="top"/>
          </w:tcPr>
          <w:p w14:paraId="001001A0" w14:textId="001001A1">
            <w:r>
              <w:rPr>
                <w:sz w:val="18"/>
              </w:rPr>
              <w:t xml:space="preserve">21</w:t>
            </w:r>
          </w:p>
        </w:tc>
      </w:tr>
      <w:tr>
        <w:trPr/>
        <w:tc>
          <w:tcPr>
            <w:shd w:val="clear" w:fill="F7F7F7"/>
            <w:tcMar>
              <w:top w:w="30" w:type="dxa"/>
              <w:left w:w="110" w:type="dxa"/>
              <w:bottom w:w="30" w:type="dxa"/>
              <w:right w:w="110" w:type="dxa"/>
            </w:tcMar>
            <w:vAlign w:val="top"/>
          </w:tcPr>
          <w:p w14:paraId="001001A2" w14:textId="001001A3">
            <w:r>
              <w:rPr>
                <w:b/>
                <w:sz w:val="18"/>
              </w:rPr>
              <w:t xml:space="preserve">21</w:t>
            </w:r>
          </w:p>
        </w:tc>
        <w:tc>
          <w:tcPr>
            <w:tcMar>
              <w:top w:w="30" w:type="dxa"/>
              <w:left w:w="110" w:type="dxa"/>
              <w:bottom w:w="30" w:type="dxa"/>
              <w:right w:w="110" w:type="dxa"/>
            </w:tcMar>
            <w:vAlign w:val="top"/>
          </w:tcPr>
          <w:p w14:paraId="001001A4" w14:textId="001001A5">
            <w:r>
              <w:rPr>
                <w:sz w:val="18"/>
              </w:rPr>
              <w:t xml:space="preserve">Indemnities</w:t>
            </w:r>
          </w:p>
        </w:tc>
        <w:tc>
          <w:tcPr>
            <w:tcMar>
              <w:top w:w="30" w:type="dxa"/>
              <w:left w:w="110" w:type="dxa"/>
              <w:bottom w:w="30" w:type="dxa"/>
              <w:right w:w="110" w:type="dxa"/>
            </w:tcMar>
            <w:vAlign w:val="top"/>
          </w:tcPr>
          <w:p w14:paraId="001001A6" w14:textId="001001A7">
            <w:r>
              <w:rPr>
                <w:sz w:val="18"/>
              </w:rPr>
              <w:t xml:space="preserve">21</w:t>
            </w:r>
          </w:p>
        </w:tc>
      </w:tr>
      <w:tr>
        <w:trPr/>
        <w:tc>
          <w:tcPr>
            <w:shd w:val="clear" w:fill="F7F7F7"/>
            <w:tcMar>
              <w:top w:w="30" w:type="dxa"/>
              <w:left w:w="110" w:type="dxa"/>
              <w:bottom w:w="30" w:type="dxa"/>
              <w:right w:w="110" w:type="dxa"/>
            </w:tcMar>
            <w:vAlign w:val="top"/>
          </w:tcPr>
          <w:p w14:paraId="001001A8" w14:textId="001001A9">
            <w:r>
              <w:rPr>
                <w:b/>
                <w:sz w:val="18"/>
              </w:rPr>
              <w:t xml:space="preserve">22</w:t>
            </w:r>
          </w:p>
        </w:tc>
        <w:tc>
          <w:tcPr>
            <w:tcMar>
              <w:top w:w="30" w:type="dxa"/>
              <w:left w:w="110" w:type="dxa"/>
              <w:bottom w:w="30" w:type="dxa"/>
              <w:right w:w="110" w:type="dxa"/>
            </w:tcMar>
            <w:vAlign w:val="top"/>
          </w:tcPr>
          <w:p w14:paraId="001001AA" w14:textId="001001AB">
            <w:r>
              <w:rPr>
                <w:sz w:val="18"/>
              </w:rPr>
              <w:t xml:space="preserve">Compliance</w:t>
            </w:r>
          </w:p>
        </w:tc>
        <w:tc>
          <w:tcPr>
            <w:tcMar>
              <w:top w:w="30" w:type="dxa"/>
              <w:left w:w="110" w:type="dxa"/>
              <w:bottom w:w="30" w:type="dxa"/>
              <w:right w:w="110" w:type="dxa"/>
            </w:tcMar>
            <w:vAlign w:val="top"/>
          </w:tcPr>
          <w:p w14:paraId="001001AC" w14:textId="001001AD">
            <w:r>
              <w:rPr>
                <w:sz w:val="18"/>
              </w:rPr>
              <w:t xml:space="preserve">22</w:t>
            </w:r>
          </w:p>
        </w:tc>
      </w:tr>
      <w:tr>
        <w:trPr/>
        <w:tc>
          <w:tcPr>
            <w:shd w:val="clear" w:fill="F7F7F7"/>
            <w:tcMar>
              <w:top w:w="30" w:type="dxa"/>
              <w:left w:w="110" w:type="dxa"/>
              <w:bottom w:w="30" w:type="dxa"/>
              <w:right w:w="110" w:type="dxa"/>
            </w:tcMar>
            <w:vAlign w:val="top"/>
          </w:tcPr>
          <w:p w14:paraId="001001AE" w14:textId="001001AF">
            <w:r>
              <w:rPr>
                <w:b/>
                <w:sz w:val="18"/>
              </w:rPr>
              <w:t xml:space="preserve">23</w:t>
            </w:r>
          </w:p>
        </w:tc>
        <w:tc>
          <w:tcPr>
            <w:tcMar>
              <w:top w:w="30" w:type="dxa"/>
              <w:left w:w="110" w:type="dxa"/>
              <w:bottom w:w="30" w:type="dxa"/>
              <w:right w:w="110" w:type="dxa"/>
            </w:tcMar>
            <w:vAlign w:val="top"/>
          </w:tcPr>
          <w:p w14:paraId="001001B0" w14:textId="001001B1">
            <w:r>
              <w:rPr>
                <w:sz w:val="18"/>
              </w:rPr>
              <w:t xml:space="preserve">Force majeure</w:t>
            </w:r>
          </w:p>
        </w:tc>
        <w:tc>
          <w:tcPr>
            <w:tcMar>
              <w:top w:w="30" w:type="dxa"/>
              <w:left w:w="110" w:type="dxa"/>
              <w:bottom w:w="30" w:type="dxa"/>
              <w:right w:w="110" w:type="dxa"/>
            </w:tcMar>
            <w:vAlign w:val="top"/>
          </w:tcPr>
          <w:p w14:paraId="001001B2" w14:textId="001001B3">
            <w:r>
              <w:rPr>
                <w:sz w:val="18"/>
              </w:rPr>
              <w:t xml:space="preserve">22</w:t>
            </w:r>
          </w:p>
        </w:tc>
      </w:tr>
      <w:tr>
        <w:trPr/>
        <w:tc>
          <w:tcPr>
            <w:shd w:val="clear" w:fill="F7F7F7"/>
            <w:tcMar>
              <w:top w:w="30" w:type="dxa"/>
              <w:left w:w="110" w:type="dxa"/>
              <w:bottom w:w="30" w:type="dxa"/>
              <w:right w:w="110" w:type="dxa"/>
            </w:tcMar>
            <w:vAlign w:val="top"/>
          </w:tcPr>
          <w:p w14:paraId="001001B4" w14:textId="001001B5">
            <w:r>
              <w:rPr>
                <w:b/>
                <w:sz w:val="18"/>
              </w:rPr>
              <w:t xml:space="preserve">24</w:t>
            </w:r>
          </w:p>
        </w:tc>
        <w:tc>
          <w:tcPr>
            <w:tcMar>
              <w:top w:w="30" w:type="dxa"/>
              <w:left w:w="110" w:type="dxa"/>
              <w:bottom w:w="30" w:type="dxa"/>
              <w:right w:w="110" w:type="dxa"/>
            </w:tcMar>
            <w:vAlign w:val="top"/>
          </w:tcPr>
          <w:p w14:paraId="001001B6" w14:textId="001001B7">
            <w:r>
              <w:rPr>
                <w:sz w:val="18"/>
              </w:rPr>
              <w:t xml:space="preserve">Notices</w:t>
            </w:r>
          </w:p>
        </w:tc>
        <w:tc>
          <w:tcPr>
            <w:tcMar>
              <w:top w:w="30" w:type="dxa"/>
              <w:left w:w="110" w:type="dxa"/>
              <w:bottom w:w="30" w:type="dxa"/>
              <w:right w:w="110" w:type="dxa"/>
            </w:tcMar>
            <w:vAlign w:val="top"/>
          </w:tcPr>
          <w:p w14:paraId="001001B8" w14:textId="001001B9">
            <w:r>
              <w:rPr>
                <w:sz w:val="18"/>
              </w:rPr>
              <w:t xml:space="preserve">23</w:t>
            </w:r>
          </w:p>
        </w:tc>
      </w:tr>
      <w:tr>
        <w:trPr/>
        <w:tc>
          <w:tcPr>
            <w:shd w:val="clear" w:fill="F7F7F7"/>
            <w:tcMar>
              <w:top w:w="30" w:type="dxa"/>
              <w:left w:w="110" w:type="dxa"/>
              <w:bottom w:w="30" w:type="dxa"/>
              <w:right w:w="110" w:type="dxa"/>
            </w:tcMar>
            <w:vAlign w:val="top"/>
          </w:tcPr>
          <w:p w14:paraId="001001BA" w14:textId="001001BB">
            <w:r>
              <w:rPr>
                <w:b/>
                <w:sz w:val="18"/>
              </w:rPr>
              <w:t xml:space="preserve">25</w:t>
            </w:r>
          </w:p>
        </w:tc>
        <w:tc>
          <w:tcPr>
            <w:tcMar>
              <w:top w:w="30" w:type="dxa"/>
              <w:left w:w="110" w:type="dxa"/>
              <w:bottom w:w="30" w:type="dxa"/>
              <w:right w:w="110" w:type="dxa"/>
            </w:tcMar>
            <w:vAlign w:val="top"/>
          </w:tcPr>
          <w:p w14:paraId="001001BC" w14:textId="001001BD">
            <w:r>
              <w:rPr>
                <w:sz w:val="18"/>
              </w:rPr>
              <w:t xml:space="preserve">Governing law and dispute resolution</w:t>
            </w:r>
          </w:p>
        </w:tc>
        <w:tc>
          <w:tcPr>
            <w:tcMar>
              <w:top w:w="30" w:type="dxa"/>
              <w:left w:w="110" w:type="dxa"/>
              <w:bottom w:w="30" w:type="dxa"/>
              <w:right w:w="110" w:type="dxa"/>
            </w:tcMar>
            <w:vAlign w:val="top"/>
          </w:tcPr>
          <w:p w14:paraId="001001BE" w14:textId="001001BF">
            <w:r>
              <w:rPr>
                <w:sz w:val="18"/>
              </w:rPr>
              <w:t xml:space="preserve">23</w:t>
            </w:r>
          </w:p>
        </w:tc>
      </w:tr>
      <w:tr>
        <w:trPr/>
        <w:tc>
          <w:tcPr>
            <w:shd w:val="clear" w:fill="F7F7F7"/>
            <w:tcMar>
              <w:top w:w="30" w:type="dxa"/>
              <w:left w:w="110" w:type="dxa"/>
              <w:bottom w:w="30" w:type="dxa"/>
              <w:right w:w="110" w:type="dxa"/>
            </w:tcMar>
            <w:vAlign w:val="top"/>
          </w:tcPr>
          <w:p w14:paraId="001001C0" w14:textId="001001C1">
            <w:r>
              <w:rPr>
                <w:b/>
                <w:sz w:val="18"/>
              </w:rPr>
              <w:t xml:space="preserve">26</w:t>
            </w:r>
          </w:p>
        </w:tc>
        <w:tc>
          <w:tcPr>
            <w:tcMar>
              <w:top w:w="30" w:type="dxa"/>
              <w:left w:w="110" w:type="dxa"/>
              <w:bottom w:w="30" w:type="dxa"/>
              <w:right w:w="110" w:type="dxa"/>
            </w:tcMar>
            <w:vAlign w:val="top"/>
          </w:tcPr>
          <w:p w14:paraId="001001C2" w14:textId="001001C3">
            <w:r>
              <w:rPr>
                <w:sz w:val="18"/>
              </w:rPr>
              <w:t xml:space="preserve">General provisions</w:t>
            </w:r>
          </w:p>
        </w:tc>
        <w:tc>
          <w:tcPr>
            <w:tcMar>
              <w:top w:w="30" w:type="dxa"/>
              <w:left w:w="110" w:type="dxa"/>
              <w:bottom w:w="30" w:type="dxa"/>
              <w:right w:w="110" w:type="dxa"/>
            </w:tcMar>
            <w:vAlign w:val="top"/>
          </w:tcPr>
          <w:p w14:paraId="001001C4" w14:textId="001001C5">
            <w:r>
              <w:rPr>
                <w:sz w:val="18"/>
              </w:rPr>
              <w:t xml:space="preserve">23</w:t>
            </w:r>
          </w:p>
        </w:tc>
      </w:tr>
      <w:tr>
        <w:trPr/>
        <w:tc>
          <w:tcPr>
            <w:shd w:val="clear" w:fill="F7F7F7"/>
            <w:tcMar>
              <w:top w:w="30" w:type="dxa"/>
              <w:left w:w="110" w:type="dxa"/>
              <w:bottom w:w="30" w:type="dxa"/>
              <w:right w:w="110" w:type="dxa"/>
            </w:tcMar>
            <w:vAlign w:val="top"/>
          </w:tcPr>
          <w:p w14:paraId="001001C6" w14:textId="001001C7">
            <w:pPr>
              <w:rPr>
                <w:b/>
                <w:sz w:val="18"/>
              </w:rPr>
            </w:pPr>
          </w:p>
        </w:tc>
        <w:tc>
          <w:tcPr>
            <w:tcMar>
              <w:top w:w="30" w:type="dxa"/>
              <w:left w:w="110" w:type="dxa"/>
              <w:bottom w:w="30" w:type="dxa"/>
              <w:right w:w="110" w:type="dxa"/>
            </w:tcMar>
            <w:vAlign w:val="top"/>
          </w:tcPr>
          <w:p w14:paraId="001001C8" w14:textId="001001C9">
            <w:r>
              <w:rPr>
                <w:sz w:val="18"/>
              </w:rPr>
              <w:t xml:space="preserve">Execution</w:t>
            </w:r>
          </w:p>
        </w:tc>
        <w:tc>
          <w:tcPr>
            <w:tcMar>
              <w:top w:w="30" w:type="dxa"/>
              <w:left w:w="110" w:type="dxa"/>
              <w:bottom w:w="30" w:type="dxa"/>
              <w:right w:w="110" w:type="dxa"/>
            </w:tcMar>
            <w:vAlign w:val="top"/>
          </w:tcPr>
          <w:p w14:paraId="001001CA" w14:textId="001001CB">
            <w:r>
              <w:rPr>
                <w:sz w:val="18"/>
              </w:rPr>
              <w:t xml:space="preserve">24</w:t>
            </w:r>
          </w:p>
        </w:tc>
      </w:tr>
      <w:tr>
        <w:trPr/>
        <w:tc>
          <w:tcPr>
            <w:shd w:val="clear" w:fill="F7F7F7"/>
            <w:tcMar>
              <w:top w:w="30" w:type="dxa"/>
              <w:left w:w="110" w:type="dxa"/>
              <w:bottom w:w="30" w:type="dxa"/>
              <w:right w:w="110" w:type="dxa"/>
            </w:tcMar>
            <w:vAlign w:val="top"/>
          </w:tcPr>
          <w:p w14:paraId="001001CC" w14:textId="001001CD">
            <w:r>
              <w:rPr>
                <w:b/>
                <w:sz w:val="18"/>
              </w:rPr>
              <w:t xml:space="preserve">Schedule A</w:t>
            </w:r>
          </w:p>
        </w:tc>
        <w:tc>
          <w:tcPr>
            <w:tcMar>
              <w:top w:w="30" w:type="dxa"/>
              <w:left w:w="110" w:type="dxa"/>
              <w:bottom w:w="30" w:type="dxa"/>
              <w:right w:w="110" w:type="dxa"/>
            </w:tcMar>
            <w:vAlign w:val="top"/>
          </w:tcPr>
          <w:p w14:paraId="001001CE" w14:textId="001001CF">
            <w:r>
              <w:rPr>
                <w:sz w:val="18"/>
              </w:rPr>
              <w:t xml:space="preserve">Evaluation scope and licensed modules</w:t>
            </w:r>
          </w:p>
        </w:tc>
        <w:tc>
          <w:tcPr>
            <w:tcMar>
              <w:top w:w="30" w:type="dxa"/>
              <w:left w:w="110" w:type="dxa"/>
              <w:bottom w:w="30" w:type="dxa"/>
              <w:right w:w="110" w:type="dxa"/>
            </w:tcMar>
            <w:vAlign w:val="top"/>
          </w:tcPr>
          <w:p w14:paraId="001001D0" w14:textId="001001D1">
            <w:r>
              <w:rPr>
                <w:sz w:val="18"/>
              </w:rPr>
              <w:t xml:space="preserve">26</w:t>
            </w:r>
          </w:p>
        </w:tc>
      </w:tr>
      <w:tr>
        <w:trPr/>
        <w:tc>
          <w:tcPr>
            <w:shd w:val="clear" w:fill="F7F7F7"/>
            <w:tcMar>
              <w:top w:w="30" w:type="dxa"/>
              <w:left w:w="110" w:type="dxa"/>
              <w:bottom w:w="30" w:type="dxa"/>
              <w:right w:w="110" w:type="dxa"/>
            </w:tcMar>
            <w:vAlign w:val="top"/>
          </w:tcPr>
          <w:p w14:paraId="001001D2" w14:textId="001001D3">
            <w:r>
              <w:rPr>
                <w:b/>
                <w:sz w:val="18"/>
              </w:rPr>
              <w:t xml:space="preserve">Schedule B</w:t>
            </w:r>
          </w:p>
        </w:tc>
        <w:tc>
          <w:tcPr>
            <w:tcMar>
              <w:top w:w="30" w:type="dxa"/>
              <w:left w:w="110" w:type="dxa"/>
              <w:bottom w:w="30" w:type="dxa"/>
              <w:right w:w="110" w:type="dxa"/>
            </w:tcMar>
            <w:vAlign w:val="top"/>
          </w:tcPr>
          <w:p w14:paraId="001001D4" w14:textId="001001D5">
            <w:r>
              <w:rPr>
                <w:sz w:val="18"/>
              </w:rPr>
              <w:t xml:space="preserve">Service Level Agreement</w:t>
            </w:r>
          </w:p>
        </w:tc>
        <w:tc>
          <w:tcPr>
            <w:tcMar>
              <w:top w:w="30" w:type="dxa"/>
              <w:left w:w="110" w:type="dxa"/>
              <w:bottom w:w="30" w:type="dxa"/>
              <w:right w:w="110" w:type="dxa"/>
            </w:tcMar>
            <w:vAlign w:val="top"/>
          </w:tcPr>
          <w:p w14:paraId="001001D6" w14:textId="001001D7">
            <w:r>
              <w:rPr>
                <w:sz w:val="18"/>
              </w:rPr>
              <w:t xml:space="preserve">28</w:t>
            </w:r>
          </w:p>
        </w:tc>
      </w:tr>
      <w:tr>
        <w:trPr/>
        <w:tc>
          <w:tcPr>
            <w:shd w:val="clear" w:fill="F7F7F7"/>
            <w:tcMar>
              <w:top w:w="30" w:type="dxa"/>
              <w:left w:w="110" w:type="dxa"/>
              <w:bottom w:w="30" w:type="dxa"/>
              <w:right w:w="110" w:type="dxa"/>
            </w:tcMar>
            <w:vAlign w:val="top"/>
          </w:tcPr>
          <w:p w14:paraId="001001D8" w14:textId="001001D9">
            <w:r>
              <w:rPr>
                <w:b/>
                <w:sz w:val="18"/>
              </w:rPr>
              <w:t xml:space="preserve">Schedule C</w:t>
            </w:r>
          </w:p>
        </w:tc>
        <w:tc>
          <w:tcPr>
            <w:tcMar>
              <w:top w:w="30" w:type="dxa"/>
              <w:left w:w="110" w:type="dxa"/>
              <w:bottom w:w="30" w:type="dxa"/>
              <w:right w:w="110" w:type="dxa"/>
            </w:tcMar>
            <w:vAlign w:val="top"/>
          </w:tcPr>
          <w:p w14:paraId="001001DA" w14:textId="001001DB">
            <w:r>
              <w:rPr>
                <w:sz w:val="18"/>
              </w:rPr>
              <w:t xml:space="preserve">Support, severity and escalation</w:t>
            </w:r>
          </w:p>
        </w:tc>
        <w:tc>
          <w:tcPr>
            <w:tcMar>
              <w:top w:w="30" w:type="dxa"/>
              <w:left w:w="110" w:type="dxa"/>
              <w:bottom w:w="30" w:type="dxa"/>
              <w:right w:w="110" w:type="dxa"/>
            </w:tcMar>
            <w:vAlign w:val="top"/>
          </w:tcPr>
          <w:p w14:paraId="001001DC" w14:textId="001001DD">
            <w:r>
              <w:rPr>
                <w:sz w:val="18"/>
              </w:rPr>
              <w:t xml:space="preserve">31</w:t>
            </w:r>
          </w:p>
        </w:tc>
      </w:tr>
      <w:tr>
        <w:trPr/>
        <w:tc>
          <w:tcPr>
            <w:shd w:val="clear" w:fill="F7F7F7"/>
            <w:tcMar>
              <w:top w:w="30" w:type="dxa"/>
              <w:left w:w="110" w:type="dxa"/>
              <w:bottom w:w="30" w:type="dxa"/>
              <w:right w:w="110" w:type="dxa"/>
            </w:tcMar>
            <w:vAlign w:val="top"/>
          </w:tcPr>
          <w:p w14:paraId="001001DE" w14:textId="001001DF">
            <w:r>
              <w:rPr>
                <w:b/>
                <w:sz w:val="18"/>
              </w:rPr>
              <w:t xml:space="preserve">Schedule D</w:t>
            </w:r>
          </w:p>
        </w:tc>
        <w:tc>
          <w:tcPr>
            <w:tcMar>
              <w:top w:w="30" w:type="dxa"/>
              <w:left w:w="110" w:type="dxa"/>
              <w:bottom w:w="30" w:type="dxa"/>
              <w:right w:w="110" w:type="dxa"/>
            </w:tcMar>
            <w:vAlign w:val="top"/>
          </w:tcPr>
          <w:p w14:paraId="001001E0" w14:textId="001001E1">
            <w:r>
              <w:rPr>
                <w:sz w:val="18"/>
              </w:rPr>
              <w:t xml:space="preserve">Security controls and shared responsibility</w:t>
            </w:r>
          </w:p>
        </w:tc>
        <w:tc>
          <w:tcPr>
            <w:tcMar>
              <w:top w:w="30" w:type="dxa"/>
              <w:left w:w="110" w:type="dxa"/>
              <w:bottom w:w="30" w:type="dxa"/>
              <w:right w:w="110" w:type="dxa"/>
            </w:tcMar>
            <w:vAlign w:val="top"/>
          </w:tcPr>
          <w:p w14:paraId="001001E2" w14:textId="001001E3">
            <w:r>
              <w:rPr>
                <w:sz w:val="18"/>
              </w:rPr>
              <w:t xml:space="preserve">33</w:t>
            </w:r>
          </w:p>
        </w:tc>
      </w:tr>
      <w:tr>
        <w:trPr/>
        <w:tc>
          <w:tcPr>
            <w:shd w:val="clear" w:fill="F7F7F7"/>
            <w:tcMar>
              <w:top w:w="30" w:type="dxa"/>
              <w:left w:w="110" w:type="dxa"/>
              <w:bottom w:w="30" w:type="dxa"/>
              <w:right w:w="110" w:type="dxa"/>
            </w:tcMar>
            <w:vAlign w:val="top"/>
          </w:tcPr>
          <w:p w14:paraId="001001E4" w14:textId="001001E5">
            <w:r>
              <w:rPr>
                <w:b/>
                <w:sz w:val="18"/>
              </w:rPr>
              <w:t xml:space="preserve">Schedule E</w:t>
            </w:r>
          </w:p>
        </w:tc>
        <w:tc>
          <w:tcPr>
            <w:tcMar>
              <w:top w:w="30" w:type="dxa"/>
              <w:left w:w="110" w:type="dxa"/>
              <w:bottom w:w="30" w:type="dxa"/>
              <w:right w:w="110" w:type="dxa"/>
            </w:tcMar>
            <w:vAlign w:val="top"/>
          </w:tcPr>
          <w:p w14:paraId="001001E6" w14:textId="001001E7">
            <w:r>
              <w:rPr>
                <w:sz w:val="18"/>
              </w:rPr>
              <w:t xml:space="preserve">Service credit claim</w:t>
            </w:r>
          </w:p>
        </w:tc>
        <w:tc>
          <w:tcPr>
            <w:tcMar>
              <w:top w:w="30" w:type="dxa"/>
              <w:left w:w="110" w:type="dxa"/>
              <w:bottom w:w="30" w:type="dxa"/>
              <w:right w:w="110" w:type="dxa"/>
            </w:tcMar>
            <w:vAlign w:val="top"/>
          </w:tcPr>
          <w:p w14:paraId="001001E8" w14:textId="001001E9">
            <w:r>
              <w:rPr>
                <w:sz w:val="18"/>
              </w:rPr>
              <w:t xml:space="preserve">35</w:t>
            </w:r>
          </w:p>
        </w:tc>
      </w:tr>
      <w:tr>
        <w:trPr/>
        <w:tc>
          <w:tcPr>
            <w:shd w:val="clear" w:fill="F7F7F7"/>
            <w:tcMar>
              <w:top w:w="30" w:type="dxa"/>
              <w:left w:w="110" w:type="dxa"/>
              <w:bottom w:w="30" w:type="dxa"/>
              <w:right w:w="110" w:type="dxa"/>
            </w:tcMar>
            <w:vAlign w:val="top"/>
          </w:tcPr>
          <w:p w14:paraId="001001EA" w14:textId="001001EB">
            <w:r>
              <w:rPr>
                <w:b/>
                <w:sz w:val="18"/>
              </w:rPr>
              <w:t xml:space="preserve">Schedule F</w:t>
            </w:r>
          </w:p>
        </w:tc>
        <w:tc>
          <w:tcPr>
            <w:tcMar>
              <w:top w:w="30" w:type="dxa"/>
              <w:left w:w="110" w:type="dxa"/>
              <w:bottom w:w="30" w:type="dxa"/>
              <w:right w:w="110" w:type="dxa"/>
            </w:tcMar>
            <w:vAlign w:val="top"/>
          </w:tcPr>
          <w:p w14:paraId="001001EC" w14:textId="001001ED">
            <w:r>
              <w:rPr>
                <w:sz w:val="18"/>
              </w:rPr>
              <w:t xml:space="preserve">Authorised users and notice details</w:t>
            </w:r>
          </w:p>
        </w:tc>
        <w:tc>
          <w:tcPr>
            <w:tcMar>
              <w:top w:w="30" w:type="dxa"/>
              <w:left w:w="110" w:type="dxa"/>
              <w:bottom w:w="30" w:type="dxa"/>
              <w:right w:w="110" w:type="dxa"/>
            </w:tcMar>
            <w:vAlign w:val="top"/>
          </w:tcPr>
          <w:p w14:paraId="001001EE" w14:textId="001001EF">
            <w:r>
              <w:rPr>
                <w:sz w:val="18"/>
              </w:rPr>
              <w:t xml:space="preserve">35</w:t>
            </w:r>
          </w:p>
        </w:tc>
      </w:tr>
    </w:tbl>
    <w:p w14:paraId="001001F0" w14:textId="001001F1">
      <w:pPr>
        <w:pStyle w:val="Heading1"/>
        <w:keepNext/>
        <w:keepLines/>
        <w:pageBreakBefore/>
        <w:spacing w:before="360" w:after="160"/>
      </w:pPr>
      <w:r>
        <w:rPr>
          <w:rFonts w:ascii="Calibri" w:hAnsi="Calibri" w:eastAsia="Calibri"/>
          <w:b/>
          <w:color w:val="005A4B"/>
          <w:sz w:val="30"/>
        </w:rPr>
        <w:t xml:space="preserve">1. Definitions and interpretation</w:t>
      </w:r>
    </w:p>
    <w:p w14:paraId="001001F2" w14:textId="0010076E">
      <w:pPr>
        <w:spacing w:after="120"/>
        <w:ind w:left="397" w:hanging="397"/>
        <w:jc w:val="both"/>
      </w:pPr>
      <w:r>
        <w:rPr>
          <w:rFonts w:ascii="Calibri" w:hAnsi="Calibri" w:eastAsia="Calibri"/>
          <w:b/>
          <w:color w:val="34322D"/>
          <w:sz w:val="21"/>
        </w:rPr>
        <w:t xml:space="preserve">1.1 Definitions.</w:t>
      </w:r>
      <w:r>
        <w:rPr>
          <w:rFonts w:ascii="Calibri" w:hAnsi="Calibri" w:eastAsia="Calibri"/>
          <w:b w:val="false"/>
          <w:sz w:val="21"/>
        </w:rPr>
        <w:t xml:space="preserve"> In this Agreement the following terms have the meanings set out below. A term defined in the singular includes the plural and vice versa.</w:t>
      </w:r>
    </w:p>
    <w:tbl>
      <w:tblPr>
        <w:tblW w:w="5000" w:type="pct"/>
        <w:tblBorders>
          <w:top w:val="single" w:color="DCDCDC" w:sz="4"/>
          <w:left w:val="single" w:color="DCDCDC" w:sz="4"/>
          <w:bottom w:val="single" w:color="DCDCDC" w:sz="4"/>
          <w:right w:val="single" w:color="DCDCDC" w:sz="4"/>
          <w:insideH w:val="single" w:color="DCDCDC" w:sz="4"/>
          <w:insideV w:val="none" w:sz="4"/>
        </w:tblBorders>
      </w:tblPr>
      <w:tblGrid>
        <w:gridCol w:w="2300"/>
        <w:gridCol w:w="6772"/>
      </w:tblGrid>
      <w:tr>
        <w:trPr/>
        <w:tc>
          <w:tcPr>
            <w:shd w:val="clear" w:fill="F0F0F0"/>
            <w:tcMar>
              <w:top w:w="60" w:type="dxa"/>
              <w:left w:w="110" w:type="dxa"/>
              <w:bottom w:w="60" w:type="dxa"/>
              <w:right w:w="110" w:type="dxa"/>
            </w:tcMar>
            <w:vAlign w:val="top"/>
          </w:tcPr>
          <w:p w14:paraId="001001F4" w14:textId="001001F5">
            <w:r>
              <w:rPr>
                <w:b/>
                <w:color w:val="34322D"/>
                <w:sz w:val="18"/>
              </w:rPr>
              <w:t xml:space="preserve">Term</w:t>
            </w:r>
          </w:p>
        </w:tc>
        <w:tc>
          <w:tcPr>
            <w:shd w:val="clear" w:fill="F0F0F0"/>
            <w:tcMar>
              <w:top w:w="60" w:type="dxa"/>
              <w:left w:w="110" w:type="dxa"/>
              <w:bottom w:w="60" w:type="dxa"/>
              <w:right w:w="110" w:type="dxa"/>
            </w:tcMar>
            <w:vAlign w:val="top"/>
          </w:tcPr>
          <w:p w14:paraId="001001F6" w14:textId="001001F7">
            <w:r>
              <w:rPr>
                <w:b/>
                <w:color w:val="34322D"/>
                <w:sz w:val="18"/>
              </w:rPr>
              <w:t xml:space="preserve">Meaning</w:t>
            </w:r>
          </w:p>
        </w:tc>
      </w:tr>
      <w:tr>
        <w:trPr/>
        <w:tc>
          <w:tcPr>
            <w:shd w:val="clear" w:fill="F7F7F7"/>
            <w:tcMar>
              <w:top w:w="60" w:type="dxa"/>
              <w:left w:w="110" w:type="dxa"/>
              <w:bottom w:w="60" w:type="dxa"/>
              <w:right w:w="110" w:type="dxa"/>
            </w:tcMar>
            <w:vAlign w:val="top"/>
          </w:tcPr>
          <w:p w14:paraId="001001F8" w14:textId="001001F9">
            <w:r>
              <w:rPr>
                <w:b/>
                <w:sz w:val="19"/>
              </w:rPr>
              <w:t xml:space="preserve">Agreement</w:t>
            </w:r>
          </w:p>
        </w:tc>
        <w:tc>
          <w:tcPr>
            <w:tcMar>
              <w:top w:w="60" w:type="dxa"/>
              <w:left w:w="110" w:type="dxa"/>
              <w:bottom w:w="60" w:type="dxa"/>
              <w:right w:w="110" w:type="dxa"/>
            </w:tcMar>
            <w:vAlign w:val="top"/>
          </w:tcPr>
          <w:p w14:paraId="001001FA" w14:textId="001001FB">
            <w:r>
              <w:rPr>
                <w:sz w:val="19"/>
              </w:rPr>
              <w:t xml:space="preserve">This Enterprise Software Evaluation Agreement and Service Level Agreement, including its schedules, as varied under clause 26.2.</w:t>
            </w:r>
          </w:p>
        </w:tc>
      </w:tr>
      <w:tr>
        <w:trPr/>
        <w:tc>
          <w:tcPr>
            <w:shd w:val="clear" w:fill="F7F7F7"/>
            <w:tcMar>
              <w:top w:w="60" w:type="dxa"/>
              <w:left w:w="110" w:type="dxa"/>
              <w:bottom w:w="60" w:type="dxa"/>
              <w:right w:w="110" w:type="dxa"/>
            </w:tcMar>
            <w:vAlign w:val="top"/>
          </w:tcPr>
          <w:p w14:paraId="001001FC" w14:textId="001001FD">
            <w:r>
              <w:rPr>
                <w:b/>
                <w:sz w:val="19"/>
              </w:rPr>
              <w:t xml:space="preserve">AI Action</w:t>
            </w:r>
          </w:p>
        </w:tc>
        <w:tc>
          <w:tcPr>
            <w:tcMar>
              <w:top w:w="60" w:type="dxa"/>
              <w:left w:w="110" w:type="dxa"/>
              <w:bottom w:w="60" w:type="dxa"/>
              <w:right w:w="110" w:type="dxa"/>
            </w:tcMar>
            <w:vAlign w:val="top"/>
          </w:tcPr>
          <w:p w14:paraId="001001FE" w14:textId="001001FF">
            <w:r>
              <w:rPr>
                <w:sz w:val="19"/>
              </w:rPr>
              <w:t xml:space="preserve">One invocation of an AI-Assisted Feature that consumes one unit of the Customer's shared monthly AI allowance.</w:t>
            </w:r>
          </w:p>
        </w:tc>
      </w:tr>
      <w:tr>
        <w:trPr/>
        <w:tc>
          <w:tcPr>
            <w:shd w:val="clear" w:fill="F7F7F7"/>
            <w:tcMar>
              <w:top w:w="60" w:type="dxa"/>
              <w:left w:w="110" w:type="dxa"/>
              <w:bottom w:w="60" w:type="dxa"/>
              <w:right w:w="110" w:type="dxa"/>
            </w:tcMar>
            <w:vAlign w:val="top"/>
          </w:tcPr>
          <w:p w14:paraId="00100200" w14:textId="00100201">
            <w:r>
              <w:rPr>
                <w:b/>
                <w:sz w:val="19"/>
              </w:rPr>
              <w:t xml:space="preserve">AI-Assisted Feature</w:t>
            </w:r>
          </w:p>
        </w:tc>
        <w:tc>
          <w:tcPr>
            <w:tcMar>
              <w:top w:w="60" w:type="dxa"/>
              <w:left w:w="110" w:type="dxa"/>
              <w:bottom w:w="60" w:type="dxa"/>
              <w:right w:w="110" w:type="dxa"/>
            </w:tcMar>
            <w:vAlign w:val="top"/>
          </w:tcPr>
          <w:p w14:paraId="00100202" w14:textId="00100203">
            <w:r>
              <w:rPr>
                <w:sz w:val="19"/>
              </w:rPr>
              <w:t xml:space="preserve">Any feature of the Service that uses a machine learning model to draft, summarise, classify, suggest or review content, including MSRA drafting, root-cause suggestion, document review and incident-photo hazard classification.</w:t>
            </w:r>
          </w:p>
        </w:tc>
      </w:tr>
      <w:tr>
        <w:trPr/>
        <w:tc>
          <w:tcPr>
            <w:shd w:val="clear" w:fill="F7F7F7"/>
            <w:tcMar>
              <w:top w:w="60" w:type="dxa"/>
              <w:left w:w="110" w:type="dxa"/>
              <w:bottom w:w="60" w:type="dxa"/>
              <w:right w:w="110" w:type="dxa"/>
            </w:tcMar>
            <w:vAlign w:val="top"/>
          </w:tcPr>
          <w:p w14:paraId="00100204" w14:textId="00100205">
            <w:r>
              <w:rPr>
                <w:b/>
                <w:sz w:val="19"/>
              </w:rPr>
              <w:t xml:space="preserve">Availability</w:t>
            </w:r>
          </w:p>
        </w:tc>
        <w:tc>
          <w:tcPr>
            <w:tcMar>
              <w:top w:w="60" w:type="dxa"/>
              <w:left w:w="110" w:type="dxa"/>
              <w:bottom w:w="60" w:type="dxa"/>
              <w:right w:w="110" w:type="dxa"/>
            </w:tcMar>
            <w:vAlign w:val="top"/>
          </w:tcPr>
          <w:p w14:paraId="00100206" w14:textId="00100207">
            <w:r>
              <w:rPr>
                <w:sz w:val="19"/>
              </w:rPr>
              <w:t xml:space="preserve">The proportion of time in a calendar month during which the core Service is available for use by the Customer, measured in accordance with Schedule B.</w:t>
            </w:r>
          </w:p>
        </w:tc>
      </w:tr>
      <w:tr>
        <w:trPr/>
        <w:tc>
          <w:tcPr>
            <w:shd w:val="clear" w:fill="F7F7F7"/>
            <w:tcMar>
              <w:top w:w="60" w:type="dxa"/>
              <w:left w:w="110" w:type="dxa"/>
              <w:bottom w:w="60" w:type="dxa"/>
              <w:right w:w="110" w:type="dxa"/>
            </w:tcMar>
            <w:vAlign w:val="top"/>
          </w:tcPr>
          <w:p w14:paraId="00100208" w14:textId="00100209">
            <w:r>
              <w:rPr>
                <w:b/>
                <w:sz w:val="19"/>
              </w:rPr>
              <w:t xml:space="preserve">Business Day</w:t>
            </w:r>
          </w:p>
        </w:tc>
        <w:tc>
          <w:tcPr>
            <w:tcMar>
              <w:top w:w="60" w:type="dxa"/>
              <w:left w:w="110" w:type="dxa"/>
              <w:bottom w:w="60" w:type="dxa"/>
              <w:right w:w="110" w:type="dxa"/>
            </w:tcMar>
            <w:vAlign w:val="top"/>
          </w:tcPr>
          <w:p w14:paraId="0010020A" w14:textId="0010020B">
            <w:r>
              <w:rPr>
                <w:sz w:val="19"/>
              </w:rPr>
              <w:t xml:space="preserve">A day other than a Friday, Saturday or public holiday in the United Arab Emirates.</w:t>
            </w:r>
          </w:p>
        </w:tc>
      </w:tr>
      <w:tr>
        <w:trPr/>
        <w:tc>
          <w:tcPr>
            <w:shd w:val="clear" w:fill="F7F7F7"/>
            <w:tcMar>
              <w:top w:w="60" w:type="dxa"/>
              <w:left w:w="110" w:type="dxa"/>
              <w:bottom w:w="60" w:type="dxa"/>
              <w:right w:w="110" w:type="dxa"/>
            </w:tcMar>
            <w:vAlign w:val="top"/>
          </w:tcPr>
          <w:p w14:paraId="0010020C" w14:textId="0010020D">
            <w:r>
              <w:rPr>
                <w:b/>
                <w:sz w:val="19"/>
              </w:rPr>
              <w:t xml:space="preserve">Confidential Information</w:t>
            </w:r>
          </w:p>
        </w:tc>
        <w:tc>
          <w:tcPr>
            <w:tcMar>
              <w:top w:w="60" w:type="dxa"/>
              <w:left w:w="110" w:type="dxa"/>
              <w:bottom w:w="60" w:type="dxa"/>
              <w:right w:w="110" w:type="dxa"/>
            </w:tcMar>
            <w:vAlign w:val="top"/>
          </w:tcPr>
          <w:p w14:paraId="0010020E" w14:textId="0010020F">
            <w:r>
              <w:rPr>
                <w:sz w:val="19"/>
              </w:rPr>
              <w:t xml:space="preserve">Has the meaning given in the Mutual Non-Disclosure Agreement between the Parties, or, if none is in force, the meaning given in clause 14.2.</w:t>
            </w:r>
          </w:p>
        </w:tc>
      </w:tr>
      <w:tr>
        <w:trPr/>
        <w:tc>
          <w:tcPr>
            <w:shd w:val="clear" w:fill="F7F7F7"/>
            <w:tcMar>
              <w:top w:w="60" w:type="dxa"/>
              <w:left w:w="110" w:type="dxa"/>
              <w:bottom w:w="60" w:type="dxa"/>
              <w:right w:w="110" w:type="dxa"/>
            </w:tcMar>
            <w:vAlign w:val="top"/>
          </w:tcPr>
          <w:p w14:paraId="00100210" w14:textId="00100211">
            <w:r>
              <w:rPr>
                <w:b/>
                <w:sz w:val="19"/>
              </w:rPr>
              <w:t xml:space="preserve">Customer</w:t>
            </w:r>
          </w:p>
        </w:tc>
        <w:tc>
          <w:tcPr>
            <w:tcMar>
              <w:top w:w="60" w:type="dxa"/>
              <w:left w:w="110" w:type="dxa"/>
              <w:bottom w:w="60" w:type="dxa"/>
              <w:right w:w="110" w:type="dxa"/>
            </w:tcMar>
            <w:vAlign w:val="top"/>
          </w:tcPr>
          <w:p w14:paraId="00100212" w14:textId="00100213">
            <w:r>
              <w:rPr>
                <w:sz w:val="19"/>
              </w:rPr>
              <w:t xml:space="preserve">The entity identified as the Customer on the cover page and in the Agreement particulars.</w:t>
            </w:r>
          </w:p>
        </w:tc>
      </w:tr>
      <w:tr>
        <w:trPr/>
        <w:tc>
          <w:tcPr>
            <w:shd w:val="clear" w:fill="F7F7F7"/>
            <w:tcMar>
              <w:top w:w="60" w:type="dxa"/>
              <w:left w:w="110" w:type="dxa"/>
              <w:bottom w:w="60" w:type="dxa"/>
              <w:right w:w="110" w:type="dxa"/>
            </w:tcMar>
            <w:vAlign w:val="top"/>
          </w:tcPr>
          <w:p w14:paraId="00100214" w14:textId="00100215">
            <w:r>
              <w:rPr>
                <w:b/>
                <w:sz w:val="19"/>
              </w:rPr>
              <w:t xml:space="preserve">Customer Content</w:t>
            </w:r>
          </w:p>
        </w:tc>
        <w:tc>
          <w:tcPr>
            <w:tcMar>
              <w:top w:w="60" w:type="dxa"/>
              <w:left w:w="110" w:type="dxa"/>
              <w:bottom w:w="60" w:type="dxa"/>
              <w:right w:w="110" w:type="dxa"/>
            </w:tcMar>
            <w:vAlign w:val="top"/>
          </w:tcPr>
          <w:p w14:paraId="00100216" w14:textId="00100217">
            <w:r>
              <w:rPr>
                <w:sz w:val="19"/>
              </w:rPr>
              <w:t xml:space="preserve">All data, documents, images, records, comments and other content uploaded to or created within the Evaluation Workspace by the Customer or its Users, including permits, inspections, incident records, worker records and training records.</w:t>
            </w:r>
          </w:p>
        </w:tc>
      </w:tr>
      <w:tr>
        <w:trPr/>
        <w:tc>
          <w:tcPr>
            <w:shd w:val="clear" w:fill="F7F7F7"/>
            <w:tcMar>
              <w:top w:w="60" w:type="dxa"/>
              <w:left w:w="110" w:type="dxa"/>
              <w:bottom w:w="60" w:type="dxa"/>
              <w:right w:w="110" w:type="dxa"/>
            </w:tcMar>
            <w:vAlign w:val="top"/>
          </w:tcPr>
          <w:p w14:paraId="00100218" w14:textId="00100219">
            <w:r>
              <w:rPr>
                <w:b/>
                <w:sz w:val="19"/>
              </w:rPr>
              <w:t xml:space="preserve">Data Processing Agreement / DPA</w:t>
            </w:r>
          </w:p>
        </w:tc>
        <w:tc>
          <w:tcPr>
            <w:tcMar>
              <w:top w:w="60" w:type="dxa"/>
              <w:left w:w="110" w:type="dxa"/>
              <w:bottom w:w="60" w:type="dxa"/>
              <w:right w:w="110" w:type="dxa"/>
            </w:tcMar>
            <w:vAlign w:val="top"/>
          </w:tcPr>
          <w:p w14:paraId="0010021A" w14:textId="0010021B">
            <w:r>
              <w:rPr>
                <w:sz w:val="19"/>
              </w:rPr>
              <w:t xml:space="preserve">The data processing agreement between the Parties governing the processing of Personal Data, signed before onboarding.</w:t>
            </w:r>
          </w:p>
        </w:tc>
      </w:tr>
      <w:tr>
        <w:trPr/>
        <w:tc>
          <w:tcPr>
            <w:shd w:val="clear" w:fill="F7F7F7"/>
            <w:tcMar>
              <w:top w:w="60" w:type="dxa"/>
              <w:left w:w="110" w:type="dxa"/>
              <w:bottom w:w="60" w:type="dxa"/>
              <w:right w:w="110" w:type="dxa"/>
            </w:tcMar>
            <w:vAlign w:val="top"/>
          </w:tcPr>
          <w:p w14:paraId="0010021C" w14:textId="0010021D">
            <w:r>
              <w:rPr>
                <w:b/>
                <w:sz w:val="19"/>
              </w:rPr>
              <w:t xml:space="preserve">Downtime</w:t>
            </w:r>
          </w:p>
        </w:tc>
        <w:tc>
          <w:tcPr>
            <w:tcMar>
              <w:top w:w="60" w:type="dxa"/>
              <w:left w:w="110" w:type="dxa"/>
              <w:bottom w:w="60" w:type="dxa"/>
              <w:right w:w="110" w:type="dxa"/>
            </w:tcMar>
            <w:vAlign w:val="top"/>
          </w:tcPr>
          <w:p w14:paraId="0010021E" w14:textId="0010021F">
            <w:r>
              <w:rPr>
                <w:sz w:val="19"/>
              </w:rPr>
              <w:t xml:space="preserve">Any period during which the core Service is not available, other than Excluded Downtime, as measured in Schedule B.</w:t>
            </w:r>
          </w:p>
        </w:tc>
      </w:tr>
      <w:tr>
        <w:trPr/>
        <w:tc>
          <w:tcPr>
            <w:shd w:val="clear" w:fill="F7F7F7"/>
            <w:tcMar>
              <w:top w:w="60" w:type="dxa"/>
              <w:left w:w="110" w:type="dxa"/>
              <w:bottom w:w="60" w:type="dxa"/>
              <w:right w:w="110" w:type="dxa"/>
            </w:tcMar>
            <w:vAlign w:val="top"/>
          </w:tcPr>
          <w:p w14:paraId="00100220" w14:textId="00100221">
            <w:r>
              <w:rPr>
                <w:b/>
                <w:sz w:val="19"/>
              </w:rPr>
              <w:t xml:space="preserve">Enterprise Plan</w:t>
            </w:r>
          </w:p>
        </w:tc>
        <w:tc>
          <w:tcPr>
            <w:tcMar>
              <w:top w:w="60" w:type="dxa"/>
              <w:left w:w="110" w:type="dxa"/>
              <w:bottom w:w="60" w:type="dxa"/>
              <w:right w:w="110" w:type="dxa"/>
            </w:tcMar>
            <w:vAlign w:val="top"/>
          </w:tcPr>
          <w:p w14:paraId="00100222" w14:textId="00100223">
            <w:r>
              <w:rPr>
                <w:sz w:val="19"/>
              </w:rPr>
              <w:t xml:space="preserve">The Enterprise subscription described on the Provider's published pricing page at the Effective Date.</w:t>
            </w:r>
          </w:p>
        </w:tc>
      </w:tr>
      <w:tr>
        <w:trPr/>
        <w:tc>
          <w:tcPr>
            <w:shd w:val="clear" w:fill="F7F7F7"/>
            <w:tcMar>
              <w:top w:w="60" w:type="dxa"/>
              <w:left w:w="110" w:type="dxa"/>
              <w:bottom w:w="60" w:type="dxa"/>
              <w:right w:w="110" w:type="dxa"/>
            </w:tcMar>
            <w:vAlign w:val="top"/>
          </w:tcPr>
          <w:p w14:paraId="00100224" w14:textId="00100225">
            <w:r>
              <w:rPr>
                <w:b/>
                <w:sz w:val="19"/>
              </w:rPr>
              <w:t xml:space="preserve">Evaluation Period</w:t>
            </w:r>
          </w:p>
        </w:tc>
        <w:tc>
          <w:tcPr>
            <w:tcMar>
              <w:top w:w="60" w:type="dxa"/>
              <w:left w:w="110" w:type="dxa"/>
              <w:bottom w:w="60" w:type="dxa"/>
              <w:right w:w="110" w:type="dxa"/>
            </w:tcMar>
            <w:vAlign w:val="top"/>
          </w:tcPr>
          <w:p w14:paraId="00100226" w14:textId="00100227">
            <w:r>
              <w:rPr>
                <w:sz w:val="19"/>
              </w:rPr>
              <w:t xml:space="preserve">The period stated in the Agreement particulars during which the Customer may evaluate the Service under this Agreement.</w:t>
            </w:r>
          </w:p>
        </w:tc>
      </w:tr>
      <w:tr>
        <w:trPr/>
        <w:tc>
          <w:tcPr>
            <w:shd w:val="clear" w:fill="F7F7F7"/>
            <w:tcMar>
              <w:top w:w="60" w:type="dxa"/>
              <w:left w:w="110" w:type="dxa"/>
              <w:bottom w:w="60" w:type="dxa"/>
              <w:right w:w="110" w:type="dxa"/>
            </w:tcMar>
            <w:vAlign w:val="top"/>
          </w:tcPr>
          <w:p w14:paraId="00100228" w14:textId="00100229">
            <w:r>
              <w:rPr>
                <w:b/>
                <w:sz w:val="19"/>
              </w:rPr>
              <w:t xml:space="preserve">Evaluation Workspace</w:t>
            </w:r>
          </w:p>
        </w:tc>
        <w:tc>
          <w:tcPr>
            <w:tcMar>
              <w:top w:w="60" w:type="dxa"/>
              <w:left w:w="110" w:type="dxa"/>
              <w:bottom w:w="60" w:type="dxa"/>
              <w:right w:w="110" w:type="dxa"/>
            </w:tcMar>
            <w:vAlign w:val="top"/>
          </w:tcPr>
          <w:p w14:paraId="0010022A" w14:textId="0010022B">
            <w:r>
              <w:rPr>
                <w:sz w:val="19"/>
              </w:rPr>
              <w:t xml:space="preserve">The logically separated workspace provisioned for the Customer for the purposes of the evaluation.</w:t>
            </w:r>
          </w:p>
        </w:tc>
      </w:tr>
      <w:tr>
        <w:trPr/>
        <w:tc>
          <w:tcPr>
            <w:shd w:val="clear" w:fill="F7F7F7"/>
            <w:tcMar>
              <w:top w:w="60" w:type="dxa"/>
              <w:left w:w="110" w:type="dxa"/>
              <w:bottom w:w="60" w:type="dxa"/>
              <w:right w:w="110" w:type="dxa"/>
            </w:tcMar>
            <w:vAlign w:val="top"/>
          </w:tcPr>
          <w:p w14:paraId="0010022C" w14:textId="0010022D">
            <w:r>
              <w:rPr>
                <w:b/>
                <w:sz w:val="19"/>
              </w:rPr>
              <w:t xml:space="preserve">Excluded Downtime</w:t>
            </w:r>
          </w:p>
        </w:tc>
        <w:tc>
          <w:tcPr>
            <w:tcMar>
              <w:top w:w="60" w:type="dxa"/>
              <w:left w:w="110" w:type="dxa"/>
              <w:bottom w:w="60" w:type="dxa"/>
              <w:right w:w="110" w:type="dxa"/>
            </w:tcMar>
            <w:vAlign w:val="top"/>
          </w:tcPr>
          <w:p w14:paraId="0010022E" w14:textId="0010022F">
            <w:r>
              <w:rPr>
                <w:sz w:val="19"/>
              </w:rPr>
              <w:t xml:space="preserve">The periods excluded from the Availability calculation, as listed in Schedule B.</w:t>
            </w:r>
          </w:p>
        </w:tc>
      </w:tr>
      <w:tr>
        <w:trPr/>
        <w:tc>
          <w:tcPr>
            <w:shd w:val="clear" w:fill="F7F7F7"/>
            <w:tcMar>
              <w:top w:w="60" w:type="dxa"/>
              <w:left w:w="110" w:type="dxa"/>
              <w:bottom w:w="60" w:type="dxa"/>
              <w:right w:w="110" w:type="dxa"/>
            </w:tcMar>
            <w:vAlign w:val="top"/>
          </w:tcPr>
          <w:p w14:paraId="00100230" w14:textId="00100231">
            <w:r>
              <w:rPr>
                <w:b/>
                <w:sz w:val="19"/>
              </w:rPr>
              <w:t xml:space="preserve">Incident</w:t>
            </w:r>
          </w:p>
        </w:tc>
        <w:tc>
          <w:tcPr>
            <w:tcMar>
              <w:top w:w="60" w:type="dxa"/>
              <w:left w:w="110" w:type="dxa"/>
              <w:bottom w:w="60" w:type="dxa"/>
              <w:right w:w="110" w:type="dxa"/>
            </w:tcMar>
            <w:vAlign w:val="top"/>
          </w:tcPr>
          <w:p w14:paraId="00100232" w14:textId="00100233">
            <w:r>
              <w:rPr>
                <w:sz w:val="19"/>
              </w:rPr>
              <w:t xml:space="preserve">A single, unplanned event or condition that causes or may cause Downtime or a material degradation of the Service, or a security event affecting Customer Content.</w:t>
            </w:r>
          </w:p>
        </w:tc>
      </w:tr>
      <w:tr>
        <w:trPr/>
        <w:tc>
          <w:tcPr>
            <w:shd w:val="clear" w:fill="F7F7F7"/>
            <w:tcMar>
              <w:top w:w="60" w:type="dxa"/>
              <w:left w:w="110" w:type="dxa"/>
              <w:bottom w:w="60" w:type="dxa"/>
              <w:right w:w="110" w:type="dxa"/>
            </w:tcMar>
            <w:vAlign w:val="top"/>
          </w:tcPr>
          <w:p w14:paraId="00100234" w14:textId="00100235">
            <w:r>
              <w:rPr>
                <w:b/>
                <w:sz w:val="19"/>
              </w:rPr>
              <w:t xml:space="preserve">Order Form</w:t>
            </w:r>
          </w:p>
        </w:tc>
        <w:tc>
          <w:tcPr>
            <w:tcMar>
              <w:top w:w="60" w:type="dxa"/>
              <w:left w:w="110" w:type="dxa"/>
              <w:bottom w:w="60" w:type="dxa"/>
              <w:right w:w="110" w:type="dxa"/>
            </w:tcMar>
            <w:vAlign w:val="top"/>
          </w:tcPr>
          <w:p w14:paraId="00100236" w14:textId="00100237">
            <w:r>
              <w:rPr>
                <w:sz w:val="19"/>
              </w:rPr>
              <w:t xml:space="preserve">A written order, quote acceptance or subscription form signed or accepted by both Parties that records the commercial terms of the evaluation or of a subscription following it.</w:t>
            </w:r>
          </w:p>
        </w:tc>
      </w:tr>
      <w:tr>
        <w:trPr/>
        <w:tc>
          <w:tcPr>
            <w:shd w:val="clear" w:fill="F7F7F7"/>
            <w:tcMar>
              <w:top w:w="60" w:type="dxa"/>
              <w:left w:w="110" w:type="dxa"/>
              <w:bottom w:w="60" w:type="dxa"/>
              <w:right w:w="110" w:type="dxa"/>
            </w:tcMar>
            <w:vAlign w:val="top"/>
          </w:tcPr>
          <w:p w14:paraId="00100238" w14:textId="00100239">
            <w:r>
              <w:rPr>
                <w:b/>
                <w:sz w:val="19"/>
              </w:rPr>
              <w:t xml:space="preserve">Personal Data</w:t>
            </w:r>
          </w:p>
        </w:tc>
        <w:tc>
          <w:tcPr>
            <w:tcMar>
              <w:top w:w="60" w:type="dxa"/>
              <w:left w:w="110" w:type="dxa"/>
              <w:bottom w:w="60" w:type="dxa"/>
              <w:right w:w="110" w:type="dxa"/>
            </w:tcMar>
            <w:vAlign w:val="top"/>
          </w:tcPr>
          <w:p w14:paraId="0010023A" w14:textId="0010023B">
            <w:r>
              <w:rPr>
                <w:sz w:val="19"/>
              </w:rPr>
              <w:t xml:space="preserve">Any information relating to an identified or identifiable natural person, as defined in applicable data protection law, including the UAE Personal Data Protection Law (Federal Decree-Law No. 45 of 2021).</w:t>
            </w:r>
          </w:p>
        </w:tc>
      </w:tr>
      <w:tr>
        <w:trPr/>
        <w:tc>
          <w:tcPr>
            <w:shd w:val="clear" w:fill="F7F7F7"/>
            <w:tcMar>
              <w:top w:w="60" w:type="dxa"/>
              <w:left w:w="110" w:type="dxa"/>
              <w:bottom w:w="60" w:type="dxa"/>
              <w:right w:w="110" w:type="dxa"/>
            </w:tcMar>
            <w:vAlign w:val="top"/>
          </w:tcPr>
          <w:p w14:paraId="0010023C" w14:textId="0010023D">
            <w:r>
              <w:rPr>
                <w:b/>
                <w:sz w:val="19"/>
              </w:rPr>
              <w:t xml:space="preserve">Platform / Service</w:t>
            </w:r>
          </w:p>
        </w:tc>
        <w:tc>
          <w:tcPr>
            <w:tcMar>
              <w:top w:w="60" w:type="dxa"/>
              <w:left w:w="110" w:type="dxa"/>
              <w:bottom w:w="60" w:type="dxa"/>
              <w:right w:w="110" w:type="dxa"/>
            </w:tcMar>
            <w:vAlign w:val="top"/>
          </w:tcPr>
          <w:p w14:paraId="0010023E" w14:textId="0010023F">
            <w:r>
              <w:rPr>
                <w:sz w:val="19"/>
              </w:rPr>
              <w:t xml:space="preserve">The Site Safety UAE HSE Operations Dashboard and any related software, applications, interfaces, templates, content and AI-Assisted Features made available by the Provider.</w:t>
            </w:r>
          </w:p>
        </w:tc>
      </w:tr>
      <w:tr>
        <w:trPr/>
        <w:tc>
          <w:tcPr>
            <w:shd w:val="clear" w:fill="F7F7F7"/>
            <w:tcMar>
              <w:top w:w="60" w:type="dxa"/>
              <w:left w:w="110" w:type="dxa"/>
              <w:bottom w:w="60" w:type="dxa"/>
              <w:right w:w="110" w:type="dxa"/>
            </w:tcMar>
            <w:vAlign w:val="top"/>
          </w:tcPr>
          <w:p w14:paraId="00100240" w14:textId="00100241">
            <w:r>
              <w:rPr>
                <w:b/>
                <w:sz w:val="19"/>
              </w:rPr>
              <w:t xml:space="preserve">Provider</w:t>
            </w:r>
          </w:p>
        </w:tc>
        <w:tc>
          <w:tcPr>
            <w:tcMar>
              <w:top w:w="60" w:type="dxa"/>
              <w:left w:w="110" w:type="dxa"/>
              <w:bottom w:w="60" w:type="dxa"/>
              <w:right w:w="110" w:type="dxa"/>
            </w:tcMar>
            <w:vAlign w:val="top"/>
          </w:tcPr>
          <w:p w14:paraId="00100242" w14:textId="00100243">
            <w:r>
              <w:rPr>
                <w:sz w:val="19"/>
              </w:rPr>
              <w:t xml:space="preserve">Site Safety LLC, a limited liability company incorporated in the United Arab Emirates, trading as Site Safety UAE.</w:t>
            </w:r>
          </w:p>
        </w:tc>
      </w:tr>
      <w:tr>
        <w:trPr/>
        <w:tc>
          <w:tcPr>
            <w:shd w:val="clear" w:fill="F7F7F7"/>
            <w:tcMar>
              <w:top w:w="60" w:type="dxa"/>
              <w:left w:w="110" w:type="dxa"/>
              <w:bottom w:w="60" w:type="dxa"/>
              <w:right w:w="110" w:type="dxa"/>
            </w:tcMar>
            <w:vAlign w:val="top"/>
          </w:tcPr>
          <w:p w14:paraId="00100244" w14:textId="00100245">
            <w:r>
              <w:rPr>
                <w:b/>
                <w:sz w:val="19"/>
              </w:rPr>
              <w:t xml:space="preserve">Scheduled Maintenance Window</w:t>
            </w:r>
          </w:p>
        </w:tc>
        <w:tc>
          <w:tcPr>
            <w:tcMar>
              <w:top w:w="60" w:type="dxa"/>
              <w:left w:w="110" w:type="dxa"/>
              <w:bottom w:w="60" w:type="dxa"/>
              <w:right w:w="110" w:type="dxa"/>
            </w:tcMar>
            <w:vAlign w:val="top"/>
          </w:tcPr>
          <w:p w14:paraId="00100246" w14:textId="00100247">
            <w:r>
              <w:rPr>
                <w:sz w:val="19"/>
              </w:rPr>
              <w:t xml:space="preserve">A pre-notified window during which the Provider may perform maintenance, as set out in Schedule B.</w:t>
            </w:r>
          </w:p>
        </w:tc>
      </w:tr>
      <w:tr>
        <w:trPr/>
        <w:tc>
          <w:tcPr>
            <w:shd w:val="clear" w:fill="F7F7F7"/>
            <w:tcMar>
              <w:top w:w="60" w:type="dxa"/>
              <w:left w:w="110" w:type="dxa"/>
              <w:bottom w:w="60" w:type="dxa"/>
              <w:right w:w="110" w:type="dxa"/>
            </w:tcMar>
            <w:vAlign w:val="top"/>
          </w:tcPr>
          <w:p w14:paraId="00100248" w14:textId="00100249">
            <w:r>
              <w:rPr>
                <w:b/>
                <w:sz w:val="19"/>
              </w:rPr>
              <w:t xml:space="preserve">Service Credit</w:t>
            </w:r>
          </w:p>
        </w:tc>
        <w:tc>
          <w:tcPr>
            <w:tcMar>
              <w:top w:w="60" w:type="dxa"/>
              <w:left w:w="110" w:type="dxa"/>
              <w:bottom w:w="60" w:type="dxa"/>
              <w:right w:w="110" w:type="dxa"/>
            </w:tcMar>
            <w:vAlign w:val="top"/>
          </w:tcPr>
          <w:p w14:paraId="0010024A" w14:textId="0010024B">
            <w:r>
              <w:rPr>
                <w:sz w:val="19"/>
              </w:rPr>
              <w:t xml:space="preserve">The remedy calculated under Schedule B for a failure to meet the Availability target.</w:t>
            </w:r>
          </w:p>
        </w:tc>
      </w:tr>
      <w:tr>
        <w:trPr/>
        <w:tc>
          <w:tcPr>
            <w:shd w:val="clear" w:fill="F7F7F7"/>
            <w:tcMar>
              <w:top w:w="60" w:type="dxa"/>
              <w:left w:w="110" w:type="dxa"/>
              <w:bottom w:w="60" w:type="dxa"/>
              <w:right w:w="110" w:type="dxa"/>
            </w:tcMar>
            <w:vAlign w:val="top"/>
          </w:tcPr>
          <w:p w14:paraId="0010024C" w14:textId="0010024D">
            <w:r>
              <w:rPr>
                <w:b/>
                <w:sz w:val="19"/>
              </w:rPr>
              <w:t xml:space="preserve">Severity Level</w:t>
            </w:r>
          </w:p>
        </w:tc>
        <w:tc>
          <w:tcPr>
            <w:tcMar>
              <w:top w:w="60" w:type="dxa"/>
              <w:left w:w="110" w:type="dxa"/>
              <w:bottom w:w="60" w:type="dxa"/>
              <w:right w:w="110" w:type="dxa"/>
            </w:tcMar>
            <w:vAlign w:val="top"/>
          </w:tcPr>
          <w:p w14:paraId="0010024E" w14:textId="0010024F">
            <w:r>
              <w:rPr>
                <w:sz w:val="19"/>
              </w:rPr>
              <w:t xml:space="preserve">The classification of a support ticket as S1, S2 or S3 under Schedule C.</w:t>
            </w:r>
          </w:p>
        </w:tc>
      </w:tr>
      <w:tr>
        <w:trPr/>
        <w:tc>
          <w:tcPr>
            <w:shd w:val="clear" w:fill="F7F7F7"/>
            <w:tcMar>
              <w:top w:w="60" w:type="dxa"/>
              <w:left w:w="110" w:type="dxa"/>
              <w:bottom w:w="60" w:type="dxa"/>
              <w:right w:w="110" w:type="dxa"/>
            </w:tcMar>
            <w:vAlign w:val="top"/>
          </w:tcPr>
          <w:p w14:paraId="00100250" w14:textId="00100251">
            <w:r>
              <w:rPr>
                <w:b/>
                <w:sz w:val="19"/>
              </w:rPr>
              <w:t xml:space="preserve">SLA</w:t>
            </w:r>
          </w:p>
        </w:tc>
        <w:tc>
          <w:tcPr>
            <w:tcMar>
              <w:top w:w="60" w:type="dxa"/>
              <w:left w:w="110" w:type="dxa"/>
              <w:bottom w:w="60" w:type="dxa"/>
              <w:right w:w="110" w:type="dxa"/>
            </w:tcMar>
            <w:vAlign w:val="top"/>
          </w:tcPr>
          <w:p w14:paraId="00100252" w14:textId="00100253">
            <w:r>
              <w:rPr>
                <w:sz w:val="19"/>
              </w:rPr>
              <w:t xml:space="preserve">The service level agreement set out in Schedule B and Schedule C.</w:t>
            </w:r>
          </w:p>
        </w:tc>
      </w:tr>
      <w:tr>
        <w:trPr/>
        <w:tc>
          <w:tcPr>
            <w:shd w:val="clear" w:fill="F7F7F7"/>
            <w:tcMar>
              <w:top w:w="60" w:type="dxa"/>
              <w:left w:w="110" w:type="dxa"/>
              <w:bottom w:w="60" w:type="dxa"/>
              <w:right w:w="110" w:type="dxa"/>
            </w:tcMar>
            <w:vAlign w:val="top"/>
          </w:tcPr>
          <w:p w14:paraId="00100254" w14:textId="00100255">
            <w:r>
              <w:rPr>
                <w:b/>
                <w:sz w:val="19"/>
              </w:rPr>
              <w:t xml:space="preserve">Subprocessor</w:t>
            </w:r>
          </w:p>
        </w:tc>
        <w:tc>
          <w:tcPr>
            <w:tcMar>
              <w:top w:w="60" w:type="dxa"/>
              <w:left w:w="110" w:type="dxa"/>
              <w:bottom w:w="60" w:type="dxa"/>
              <w:right w:w="110" w:type="dxa"/>
            </w:tcMar>
            <w:vAlign w:val="top"/>
          </w:tcPr>
          <w:p w14:paraId="00100256" w14:textId="00100257">
            <w:r>
              <w:rPr>
                <w:sz w:val="19"/>
              </w:rPr>
              <w:t xml:space="preserve">A third party engaged by the Provider to process Customer Content or Personal Data on the Provider's behalf.</w:t>
            </w:r>
          </w:p>
        </w:tc>
      </w:tr>
      <w:tr>
        <w:trPr/>
        <w:tc>
          <w:tcPr>
            <w:shd w:val="clear" w:fill="F7F7F7"/>
            <w:tcMar>
              <w:top w:w="60" w:type="dxa"/>
              <w:left w:w="110" w:type="dxa"/>
              <w:bottom w:w="60" w:type="dxa"/>
              <w:right w:w="110" w:type="dxa"/>
            </w:tcMar>
            <w:vAlign w:val="top"/>
          </w:tcPr>
          <w:p w14:paraId="00100258" w14:textId="00100259">
            <w:r>
              <w:rPr>
                <w:b/>
                <w:sz w:val="19"/>
              </w:rPr>
              <w:t xml:space="preserve">Support Hours</w:t>
            </w:r>
          </w:p>
        </w:tc>
        <w:tc>
          <w:tcPr>
            <w:tcMar>
              <w:top w:w="60" w:type="dxa"/>
              <w:left w:w="110" w:type="dxa"/>
              <w:bottom w:w="60" w:type="dxa"/>
              <w:right w:w="110" w:type="dxa"/>
            </w:tcMar>
            <w:vAlign w:val="top"/>
          </w:tcPr>
          <w:p w14:paraId="0010025A" w14:textId="0010025B">
            <w:r>
              <w:rPr>
                <w:sz w:val="19"/>
              </w:rPr>
              <w:t xml:space="preserve">The hours during which the Provider provides support, as set out in Schedule C.</w:t>
            </w:r>
          </w:p>
        </w:tc>
      </w:tr>
      <w:tr>
        <w:trPr/>
        <w:tc>
          <w:tcPr>
            <w:shd w:val="clear" w:fill="F7F7F7"/>
            <w:tcMar>
              <w:top w:w="60" w:type="dxa"/>
              <w:left w:w="110" w:type="dxa"/>
              <w:bottom w:w="60" w:type="dxa"/>
              <w:right w:w="110" w:type="dxa"/>
            </w:tcMar>
            <w:vAlign w:val="top"/>
          </w:tcPr>
          <w:p w14:paraId="0010025C" w14:textId="0010025D">
            <w:r>
              <w:rPr>
                <w:b/>
                <w:sz w:val="19"/>
              </w:rPr>
              <w:t xml:space="preserve">Third-Party AI Provider</w:t>
            </w:r>
          </w:p>
        </w:tc>
        <w:tc>
          <w:tcPr>
            <w:tcMar>
              <w:top w:w="60" w:type="dxa"/>
              <w:left w:w="110" w:type="dxa"/>
              <w:bottom w:w="60" w:type="dxa"/>
              <w:right w:w="110" w:type="dxa"/>
            </w:tcMar>
            <w:vAlign w:val="top"/>
          </w:tcPr>
          <w:p w14:paraId="0010025E" w14:textId="0010025F">
            <w:r>
              <w:rPr>
                <w:sz w:val="19"/>
              </w:rPr>
              <w:t xml:space="preserve">A third-party provider of machine learning models used to deliver the AI-Assisted Features.</w:t>
            </w:r>
          </w:p>
        </w:tc>
      </w:tr>
      <w:tr>
        <w:trPr/>
        <w:tc>
          <w:tcPr>
            <w:shd w:val="clear" w:fill="F7F7F7"/>
            <w:tcMar>
              <w:top w:w="60" w:type="dxa"/>
              <w:left w:w="110" w:type="dxa"/>
              <w:bottom w:w="60" w:type="dxa"/>
              <w:right w:w="110" w:type="dxa"/>
            </w:tcMar>
            <w:vAlign w:val="top"/>
          </w:tcPr>
          <w:p w14:paraId="00100260" w14:textId="00100261">
            <w:r>
              <w:rPr>
                <w:b/>
                <w:sz w:val="19"/>
              </w:rPr>
              <w:t xml:space="preserve">Uptime Percentage</w:t>
            </w:r>
          </w:p>
        </w:tc>
        <w:tc>
          <w:tcPr>
            <w:tcMar>
              <w:top w:w="60" w:type="dxa"/>
              <w:left w:w="110" w:type="dxa"/>
              <w:bottom w:w="60" w:type="dxa"/>
              <w:right w:w="110" w:type="dxa"/>
            </w:tcMar>
            <w:vAlign w:val="top"/>
          </w:tcPr>
          <w:p w14:paraId="00100262" w14:textId="00100263">
            <w:r>
              <w:rPr>
                <w:sz w:val="19"/>
              </w:rPr>
              <w:t xml:space="preserve">The Availability figure expressed as a percentage and calculated in accordance with Schedule B.</w:t>
            </w:r>
          </w:p>
        </w:tc>
      </w:tr>
      <w:tr>
        <w:trPr/>
        <w:tc>
          <w:tcPr>
            <w:shd w:val="clear" w:fill="F7F7F7"/>
            <w:tcMar>
              <w:top w:w="60" w:type="dxa"/>
              <w:left w:w="110" w:type="dxa"/>
              <w:bottom w:w="60" w:type="dxa"/>
              <w:right w:w="110" w:type="dxa"/>
            </w:tcMar>
            <w:vAlign w:val="top"/>
          </w:tcPr>
          <w:p w14:paraId="00100264" w14:textId="00100265">
            <w:r>
              <w:rPr>
                <w:b/>
                <w:sz w:val="19"/>
              </w:rPr>
              <w:t xml:space="preserve">User</w:t>
            </w:r>
          </w:p>
        </w:tc>
        <w:tc>
          <w:tcPr>
            <w:tcMar>
              <w:top w:w="60" w:type="dxa"/>
              <w:left w:w="110" w:type="dxa"/>
              <w:bottom w:w="60" w:type="dxa"/>
              <w:right w:w="110" w:type="dxa"/>
            </w:tcMar>
            <w:vAlign w:val="top"/>
          </w:tcPr>
          <w:p w14:paraId="00100266" w14:textId="00100267">
            <w:r>
              <w:rPr>
                <w:sz w:val="19"/>
              </w:rPr>
              <w:t xml:space="preserve">An individual named in Schedule F and authorised by the Customer to access the Evaluation Workspace.</w:t>
            </w:r>
          </w:p>
        </w:tc>
      </w:tr>
    </w:tbl>
    <w:p w14:paraId="00100268" w14:textId="0010076F">
      <w:pPr>
        <w:spacing w:after="120"/>
        <w:ind w:left="397" w:hanging="397"/>
        <w:jc w:val="both"/>
      </w:pPr>
      <w:r>
        <w:rPr>
          <w:rFonts w:ascii="Calibri" w:hAnsi="Calibri" w:eastAsia="Calibri"/>
          <w:b/>
          <w:color w:val="34322D"/>
          <w:sz w:val="21"/>
        </w:rPr>
        <w:t xml:space="preserve">1.2 Interpretation.</w:t>
      </w:r>
      <w:r>
        <w:rPr>
          <w:rFonts w:ascii="Calibri" w:hAnsi="Calibri" w:eastAsia="Calibri"/>
          <w:b w:val="false"/>
          <w:sz w:val="21"/>
        </w:rPr>
        <w:t xml:space="preserve"> In this Agreement, unless the context requires otherwise: (a) headings are for convenience only and do not affect interpretation; (b) “including”, “includes” and “include” are not limiting; (c) a reference to a statute or regulation includes any amendment, re-enactment or replacement of it; (d) a reference to a clause or schedule is a reference to a clause of, or a schedule to, this Agreement; (e) “writing” includes email and other electronic communication; (f) a reference to a person includes a natural person, body corporate, partnership, joint venture, government body or unincorporated association; (g) “GST” means Gulf Standard Time (UTC+4); and (h) a reference to a month means a calendar month.</w:t>
      </w:r>
    </w:p>
    <w:p w14:paraId="0010026A" w14:textId="00100770">
      <w:pPr>
        <w:spacing w:after="120"/>
        <w:ind w:left="397" w:hanging="397"/>
        <w:jc w:val="both"/>
      </w:pPr>
      <w:r>
        <w:rPr>
          <w:rFonts w:ascii="Calibri" w:hAnsi="Calibri" w:eastAsia="Calibri"/>
          <w:b/>
          <w:color w:val="34322D"/>
          <w:sz w:val="21"/>
        </w:rPr>
        <w:t xml:space="preserve">1.3 Language.</w:t>
      </w:r>
      <w:r>
        <w:rPr>
          <w:rFonts w:ascii="Calibri" w:hAnsi="Calibri" w:eastAsia="Calibri"/>
          <w:b w:val="false"/>
          <w:sz w:val="21"/>
        </w:rPr>
        <w:t xml:space="preserve"> This Agreement is made in the English language. Any translation is provided for convenience only, and the English text prevails in the event of any inconsistency.</w:t>
      </w:r>
    </w:p>
    <w:p w14:paraId="0010026C" w14:textId="0010026D">
      <w:pPr>
        <w:pStyle w:val="Heading1"/>
        <w:keepNext/>
        <w:keepLines/>
        <w:spacing w:before="360" w:after="160"/>
      </w:pPr>
      <w:r>
        <w:rPr>
          <w:rFonts w:ascii="Calibri" w:hAnsi="Calibri" w:eastAsia="Calibri"/>
          <w:b/>
          <w:color w:val="005A4B"/>
          <w:sz w:val="30"/>
        </w:rPr>
        <w:t xml:space="preserve">2. Structure of this Agreement</w:t>
      </w:r>
    </w:p>
    <w:p w14:paraId="0010026E" w14:textId="00100771">
      <w:pPr>
        <w:spacing w:after="120"/>
        <w:ind w:left="397" w:hanging="397"/>
        <w:jc w:val="both"/>
      </w:pPr>
      <w:r>
        <w:rPr>
          <w:rFonts w:ascii="Calibri" w:hAnsi="Calibri" w:eastAsia="Calibri"/>
          <w:b/>
          <w:color w:val="34322D"/>
          <w:sz w:val="21"/>
        </w:rPr>
        <w:t xml:space="preserve">2.1 Framework.</w:t>
      </w:r>
      <w:r>
        <w:rPr>
          <w:rFonts w:ascii="Calibri" w:hAnsi="Calibri" w:eastAsia="Calibri"/>
          <w:b w:val="false"/>
          <w:sz w:val="21"/>
        </w:rPr>
        <w:t xml:space="preserve"> This Agreement, the Order Form, the DPA and the Terms of Service together govern the evaluation. The Customer's use of the Service is also subject to the Provider's published acceptable use and security policies.</w:t>
      </w:r>
    </w:p>
    <w:p w14:paraId="00100270" w14:textId="00100772">
      <w:pPr>
        <w:spacing w:after="120"/>
        <w:ind w:left="397" w:hanging="397"/>
        <w:jc w:val="both"/>
      </w:pPr>
      <w:r>
        <w:rPr>
          <w:rFonts w:ascii="Calibri" w:hAnsi="Calibri" w:eastAsia="Calibri"/>
          <w:b/>
          <w:color w:val="34322D"/>
          <w:sz w:val="21"/>
        </w:rPr>
        <w:t xml:space="preserve">2.2 Incorporation of the Terms of Service.</w:t>
      </w:r>
      <w:r>
        <w:rPr>
          <w:rFonts w:ascii="Calibri" w:hAnsi="Calibri" w:eastAsia="Calibri"/>
          <w:b w:val="false"/>
          <w:sz w:val="21"/>
        </w:rPr>
        <w:t xml:space="preserve"> The Provider's Terms of Service (version 1.4, 27 July 2026, or the version in force at the Effective Date) are incorporated into this Agreement, except where this Agreement expressly provides otherwise. Where this Agreement sets a specific service level, support commitment or remedy, that provision applies in place of the general position in the Terms of Service.</w:t>
      </w:r>
    </w:p>
    <w:p w14:paraId="00100272" w14:textId="00100773">
      <w:pPr>
        <w:spacing w:after="120"/>
        <w:ind w:left="397" w:hanging="397"/>
        <w:jc w:val="both"/>
      </w:pPr>
      <w:r>
        <w:rPr>
          <w:rFonts w:ascii="Calibri" w:hAnsi="Calibri" w:eastAsia="Calibri"/>
          <w:b/>
          <w:color w:val="34322D"/>
          <w:sz w:val="21"/>
        </w:rPr>
        <w:t xml:space="preserve">2.3 Order of precedence.</w:t>
      </w:r>
      <w:r>
        <w:rPr>
          <w:rFonts w:ascii="Calibri" w:hAnsi="Calibri" w:eastAsia="Calibri"/>
          <w:b w:val="false"/>
          <w:sz w:val="21"/>
        </w:rPr>
        <w:t xml:space="preserve"> If there is a conflict between the documents in the framework, the following order of precedence applies, from highest to lowest.</w:t>
      </w:r>
    </w:p>
    <w:tbl>
      <w:tblPr>
        <w:tblW w:w="5000" w:type="pct"/>
        <w:tblBorders>
          <w:top w:val="single" w:color="DCDCDC" w:sz="4"/>
          <w:left w:val="single" w:color="DCDCDC" w:sz="4"/>
          <w:bottom w:val="single" w:color="DCDCDC" w:sz="4"/>
          <w:right w:val="single" w:color="DCDCDC" w:sz="4"/>
          <w:insideH w:val="single" w:color="DCDCDC" w:sz="4"/>
          <w:insideV w:val="none" w:sz="4"/>
        </w:tblBorders>
      </w:tblPr>
      <w:tblGrid>
        <w:gridCol w:w="900"/>
        <w:gridCol w:w="3100"/>
        <w:gridCol w:w="5072"/>
      </w:tblGrid>
      <w:tr>
        <w:trPr/>
        <w:tc>
          <w:tcPr>
            <w:shd w:val="clear" w:fill="F0F0F0"/>
            <w:tcMar>
              <w:top w:w="60" w:type="dxa"/>
              <w:left w:w="110" w:type="dxa"/>
              <w:bottom w:w="60" w:type="dxa"/>
              <w:right w:w="110" w:type="dxa"/>
            </w:tcMar>
            <w:vAlign w:val="top"/>
          </w:tcPr>
          <w:p w14:paraId="00100274" w14:textId="00100275">
            <w:r>
              <w:rPr>
                <w:b/>
                <w:color w:val="34322D"/>
                <w:sz w:val="18"/>
              </w:rPr>
              <w:t xml:space="preserve">Rank</w:t>
            </w:r>
          </w:p>
        </w:tc>
        <w:tc>
          <w:tcPr>
            <w:shd w:val="clear" w:fill="F0F0F0"/>
            <w:tcMar>
              <w:top w:w="60" w:type="dxa"/>
              <w:left w:w="110" w:type="dxa"/>
              <w:bottom w:w="60" w:type="dxa"/>
              <w:right w:w="110" w:type="dxa"/>
            </w:tcMar>
            <w:vAlign w:val="top"/>
          </w:tcPr>
          <w:p w14:paraId="00100276" w14:textId="00100277">
            <w:r>
              <w:rPr>
                <w:b/>
                <w:color w:val="34322D"/>
                <w:sz w:val="18"/>
              </w:rPr>
              <w:t xml:space="preserve">Document</w:t>
            </w:r>
          </w:p>
        </w:tc>
        <w:tc>
          <w:tcPr>
            <w:shd w:val="clear" w:fill="F0F0F0"/>
            <w:tcMar>
              <w:top w:w="60" w:type="dxa"/>
              <w:left w:w="110" w:type="dxa"/>
              <w:bottom w:w="60" w:type="dxa"/>
              <w:right w:w="110" w:type="dxa"/>
            </w:tcMar>
            <w:vAlign w:val="top"/>
          </w:tcPr>
          <w:p w14:paraId="00100278" w14:textId="00100279">
            <w:r>
              <w:rPr>
                <w:b/>
                <w:color w:val="34322D"/>
                <w:sz w:val="18"/>
              </w:rPr>
              <w:t xml:space="preserve">Scope of precedence</w:t>
            </w:r>
          </w:p>
        </w:tc>
      </w:tr>
      <w:tr>
        <w:trPr/>
        <w:tc>
          <w:tcPr>
            <w:shd w:val="clear" w:fill="F7F7F7"/>
            <w:tcMar>
              <w:top w:w="60" w:type="dxa"/>
              <w:left w:w="110" w:type="dxa"/>
              <w:bottom w:w="60" w:type="dxa"/>
              <w:right w:w="110" w:type="dxa"/>
            </w:tcMar>
            <w:vAlign w:val="top"/>
          </w:tcPr>
          <w:p w14:paraId="0010027A" w14:textId="0010027B">
            <w:r>
              <w:rPr>
                <w:b/>
                <w:sz w:val="19"/>
              </w:rPr>
              <w:t xml:space="preserve">1</w:t>
            </w:r>
          </w:p>
        </w:tc>
        <w:tc>
          <w:tcPr>
            <w:tcMar>
              <w:top w:w="60" w:type="dxa"/>
              <w:left w:w="110" w:type="dxa"/>
              <w:bottom w:w="60" w:type="dxa"/>
              <w:right w:w="110" w:type="dxa"/>
            </w:tcMar>
            <w:vAlign w:val="top"/>
          </w:tcPr>
          <w:p w14:paraId="0010027C" w14:textId="0010027D">
            <w:r>
              <w:rPr>
                <w:sz w:val="19"/>
              </w:rPr>
              <w:t xml:space="preserve">A signed Order Form</w:t>
            </w:r>
          </w:p>
        </w:tc>
        <w:tc>
          <w:tcPr>
            <w:tcMar>
              <w:top w:w="60" w:type="dxa"/>
              <w:left w:w="110" w:type="dxa"/>
              <w:bottom w:w="60" w:type="dxa"/>
              <w:right w:w="110" w:type="dxa"/>
            </w:tcMar>
            <w:vAlign w:val="top"/>
          </w:tcPr>
          <w:p w14:paraId="0010027E" w14:textId="0010027F">
            <w:r>
              <w:rPr>
                <w:sz w:val="19"/>
              </w:rPr>
              <w:t xml:space="preserve">Prevails over all other documents, but only in respect of the commercial particulars it records.</w:t>
            </w:r>
          </w:p>
        </w:tc>
      </w:tr>
      <w:tr>
        <w:trPr/>
        <w:tc>
          <w:tcPr>
            <w:shd w:val="clear" w:fill="F7F7F7"/>
            <w:tcMar>
              <w:top w:w="60" w:type="dxa"/>
              <w:left w:w="110" w:type="dxa"/>
              <w:bottom w:w="60" w:type="dxa"/>
              <w:right w:w="110" w:type="dxa"/>
            </w:tcMar>
            <w:vAlign w:val="top"/>
          </w:tcPr>
          <w:p w14:paraId="00100280" w14:textId="00100281">
            <w:r>
              <w:rPr>
                <w:b/>
                <w:sz w:val="19"/>
              </w:rPr>
              <w:t xml:space="preserve">2</w:t>
            </w:r>
          </w:p>
        </w:tc>
        <w:tc>
          <w:tcPr>
            <w:tcMar>
              <w:top w:w="60" w:type="dxa"/>
              <w:left w:w="110" w:type="dxa"/>
              <w:bottom w:w="60" w:type="dxa"/>
              <w:right w:w="110" w:type="dxa"/>
            </w:tcMar>
            <w:vAlign w:val="top"/>
          </w:tcPr>
          <w:p w14:paraId="00100282" w14:textId="00100283">
            <w:r>
              <w:rPr>
                <w:sz w:val="19"/>
              </w:rPr>
              <w:t xml:space="preserve">This Agreement and its schedules</w:t>
            </w:r>
          </w:p>
        </w:tc>
        <w:tc>
          <w:tcPr>
            <w:tcMar>
              <w:top w:w="60" w:type="dxa"/>
              <w:left w:w="110" w:type="dxa"/>
              <w:bottom w:w="60" w:type="dxa"/>
              <w:right w:w="110" w:type="dxa"/>
            </w:tcMar>
            <w:vAlign w:val="top"/>
          </w:tcPr>
          <w:p w14:paraId="00100284" w14:textId="00100285">
            <w:r>
              <w:rPr>
                <w:sz w:val="19"/>
              </w:rPr>
              <w:t xml:space="preserve">Prevails over the Terms of Service, the Privacy Policy and the published support policy on all matters it addresses.</w:t>
            </w:r>
          </w:p>
        </w:tc>
      </w:tr>
      <w:tr>
        <w:trPr/>
        <w:tc>
          <w:tcPr>
            <w:shd w:val="clear" w:fill="F7F7F7"/>
            <w:tcMar>
              <w:top w:w="60" w:type="dxa"/>
              <w:left w:w="110" w:type="dxa"/>
              <w:bottom w:w="60" w:type="dxa"/>
              <w:right w:w="110" w:type="dxa"/>
            </w:tcMar>
            <w:vAlign w:val="top"/>
          </w:tcPr>
          <w:p w14:paraId="00100286" w14:textId="00100287">
            <w:r>
              <w:rPr>
                <w:b/>
                <w:sz w:val="19"/>
              </w:rPr>
              <w:t xml:space="preserve">3</w:t>
            </w:r>
          </w:p>
        </w:tc>
        <w:tc>
          <w:tcPr>
            <w:tcMar>
              <w:top w:w="60" w:type="dxa"/>
              <w:left w:w="110" w:type="dxa"/>
              <w:bottom w:w="60" w:type="dxa"/>
              <w:right w:w="110" w:type="dxa"/>
            </w:tcMar>
            <w:vAlign w:val="top"/>
          </w:tcPr>
          <w:p w14:paraId="00100288" w14:textId="00100289">
            <w:r>
              <w:rPr>
                <w:sz w:val="19"/>
              </w:rPr>
              <w:t xml:space="preserve">The Data Processing Agreement</w:t>
            </w:r>
          </w:p>
        </w:tc>
        <w:tc>
          <w:tcPr>
            <w:tcMar>
              <w:top w:w="60" w:type="dxa"/>
              <w:left w:w="110" w:type="dxa"/>
              <w:bottom w:w="60" w:type="dxa"/>
              <w:right w:w="110" w:type="dxa"/>
            </w:tcMar>
            <w:vAlign w:val="top"/>
          </w:tcPr>
          <w:p w14:paraId="0010028A" w14:textId="0010028B">
            <w:r>
              <w:rPr>
                <w:sz w:val="19"/>
              </w:rPr>
              <w:t xml:space="preserve">Prevails over this Agreement on the processing of Personal Data.</w:t>
            </w:r>
          </w:p>
        </w:tc>
      </w:tr>
      <w:tr>
        <w:trPr/>
        <w:tc>
          <w:tcPr>
            <w:shd w:val="clear" w:fill="F7F7F7"/>
            <w:tcMar>
              <w:top w:w="60" w:type="dxa"/>
              <w:left w:w="110" w:type="dxa"/>
              <w:bottom w:w="60" w:type="dxa"/>
              <w:right w:w="110" w:type="dxa"/>
            </w:tcMar>
            <w:vAlign w:val="top"/>
          </w:tcPr>
          <w:p w14:paraId="0010028C" w14:textId="0010028D">
            <w:r>
              <w:rPr>
                <w:b/>
                <w:sz w:val="19"/>
              </w:rPr>
              <w:t xml:space="preserve">4</w:t>
            </w:r>
          </w:p>
        </w:tc>
        <w:tc>
          <w:tcPr>
            <w:tcMar>
              <w:top w:w="60" w:type="dxa"/>
              <w:left w:w="110" w:type="dxa"/>
              <w:bottom w:w="60" w:type="dxa"/>
              <w:right w:w="110" w:type="dxa"/>
            </w:tcMar>
            <w:vAlign w:val="top"/>
          </w:tcPr>
          <w:p w14:paraId="0010028E" w14:textId="0010028F">
            <w:r>
              <w:rPr>
                <w:sz w:val="19"/>
              </w:rPr>
              <w:t xml:space="preserve">The Mutual Non-Disclosure Agreement</w:t>
            </w:r>
          </w:p>
        </w:tc>
        <w:tc>
          <w:tcPr>
            <w:tcMar>
              <w:top w:w="60" w:type="dxa"/>
              <w:left w:w="110" w:type="dxa"/>
              <w:bottom w:w="60" w:type="dxa"/>
              <w:right w:w="110" w:type="dxa"/>
            </w:tcMar>
            <w:vAlign w:val="top"/>
          </w:tcPr>
          <w:p w14:paraId="00100290" w14:textId="00100291">
            <w:r>
              <w:rPr>
                <w:sz w:val="19"/>
              </w:rPr>
              <w:t xml:space="preserve">Prevails over this Agreement on the protection of Confidential Information.</w:t>
            </w:r>
          </w:p>
        </w:tc>
      </w:tr>
      <w:tr>
        <w:trPr/>
        <w:tc>
          <w:tcPr>
            <w:shd w:val="clear" w:fill="F7F7F7"/>
            <w:tcMar>
              <w:top w:w="60" w:type="dxa"/>
              <w:left w:w="110" w:type="dxa"/>
              <w:bottom w:w="60" w:type="dxa"/>
              <w:right w:w="110" w:type="dxa"/>
            </w:tcMar>
            <w:vAlign w:val="top"/>
          </w:tcPr>
          <w:p w14:paraId="00100292" w14:textId="00100293">
            <w:r>
              <w:rPr>
                <w:b/>
                <w:sz w:val="19"/>
              </w:rPr>
              <w:t xml:space="preserve">5</w:t>
            </w:r>
          </w:p>
        </w:tc>
        <w:tc>
          <w:tcPr>
            <w:tcMar>
              <w:top w:w="60" w:type="dxa"/>
              <w:left w:w="110" w:type="dxa"/>
              <w:bottom w:w="60" w:type="dxa"/>
              <w:right w:w="110" w:type="dxa"/>
            </w:tcMar>
            <w:vAlign w:val="top"/>
          </w:tcPr>
          <w:p w14:paraId="00100294" w14:textId="00100295">
            <w:r>
              <w:rPr>
                <w:sz w:val="19"/>
              </w:rPr>
              <w:t xml:space="preserve">The Terms of Service</w:t>
            </w:r>
          </w:p>
        </w:tc>
        <w:tc>
          <w:tcPr>
            <w:tcMar>
              <w:top w:w="60" w:type="dxa"/>
              <w:left w:w="110" w:type="dxa"/>
              <w:bottom w:w="60" w:type="dxa"/>
              <w:right w:w="110" w:type="dxa"/>
            </w:tcMar>
            <w:vAlign w:val="top"/>
          </w:tcPr>
          <w:p w14:paraId="00100296" w14:textId="00100297">
            <w:r>
              <w:rPr>
                <w:sz w:val="19"/>
              </w:rPr>
              <w:t xml:space="preserve">Applies to all matters not addressed by the documents above.</w:t>
            </w:r>
          </w:p>
        </w:tc>
      </w:tr>
    </w:tbl>
    <w:p w14:paraId="00100298" w14:textId="00100774">
      <w:pPr>
        <w:spacing w:after="120"/>
        <w:ind w:left="397" w:hanging="397"/>
        <w:jc w:val="both"/>
      </w:pPr>
      <w:r>
        <w:rPr>
          <w:rFonts w:ascii="Calibri" w:hAnsi="Calibri" w:eastAsia="Calibri"/>
          <w:b/>
          <w:color w:val="34322D"/>
          <w:sz w:val="21"/>
        </w:rPr>
        <w:t xml:space="preserve">2.4 Software-only licence.</w:t>
      </w:r>
      <w:r>
        <w:rPr>
          <w:rFonts w:ascii="Calibri" w:hAnsi="Calibri" w:eastAsia="Calibri"/>
          <w:b w:val="false"/>
          <w:sz w:val="21"/>
        </w:rPr>
        <w:t xml:space="preserve"> The Service is a software-as-a-service platform. This Agreement grants access to software, tools, templates and hosted features only. It does not include the provision of hired staff, on-site personnel, consulting hours, classroom training or physical safety officers. The Provider does not act as a competent person, authorised signatory or employer on the Customer's behalf, and any guidance given by email does not create a consulting, agency or employment relationship.</w:t>
      </w:r>
    </w:p>
    <w:p w14:paraId="0010029A" w14:textId="00100775">
      <w:pPr>
        <w:spacing w:after="120"/>
        <w:ind w:left="397" w:hanging="397"/>
        <w:jc w:val="both"/>
      </w:pPr>
      <w:r>
        <w:rPr>
          <w:rFonts w:ascii="Calibri" w:hAnsi="Calibri" w:eastAsia="Calibri"/>
          <w:b/>
          <w:color w:val="34322D"/>
          <w:sz w:val="21"/>
        </w:rPr>
        <w:t xml:space="preserve">2.5 Shared responsibility.</w:t>
      </w:r>
      <w:r>
        <w:rPr>
          <w:rFonts w:ascii="Calibri" w:hAnsi="Calibri" w:eastAsia="Calibri"/>
          <w:b w:val="false"/>
          <w:sz w:val="21"/>
        </w:rPr>
        <w:t xml:space="preserve"> The Provider supplies the platform, its controls and the service levels in Schedule B and Schedule C. The Customer remains responsible for assigning roles correctly, off-boarding leavers, the accuracy and lawfulness of Customer Content, and all HSE decisions, inspections, permit approvals, training and regulatory submissions made using the Service. Schedule D records the allocation of responsibilities in detail.</w:t>
      </w:r>
    </w:p>
    <w:p w14:paraId="0010029C" w14:textId="0010029D">
      <w:pPr>
        <w:pStyle w:val="Heading1"/>
        <w:keepNext/>
        <w:keepLines/>
        <w:spacing w:before="360" w:after="160"/>
      </w:pPr>
      <w:r>
        <w:rPr>
          <w:rFonts w:ascii="Calibri" w:hAnsi="Calibri" w:eastAsia="Calibri"/>
          <w:b/>
          <w:color w:val="005A4B"/>
          <w:sz w:val="30"/>
        </w:rPr>
        <w:t xml:space="preserve">3. Grant of evaluation licence</w:t>
      </w:r>
    </w:p>
    <w:p w14:paraId="0010029E" w14:textId="00100776">
      <w:pPr>
        <w:spacing w:after="120"/>
        <w:ind w:left="397" w:hanging="397"/>
        <w:jc w:val="both"/>
      </w:pPr>
      <w:r>
        <w:rPr>
          <w:rFonts w:ascii="Calibri" w:hAnsi="Calibri" w:eastAsia="Calibri"/>
          <w:b/>
          <w:color w:val="34322D"/>
          <w:sz w:val="21"/>
        </w:rPr>
        <w:t xml:space="preserve">3.1 Grant.</w:t>
      </w:r>
      <w:r>
        <w:rPr>
          <w:rFonts w:ascii="Calibri" w:hAnsi="Calibri" w:eastAsia="Calibri"/>
          <w:b w:val="false"/>
          <w:sz w:val="21"/>
        </w:rPr>
        <w:t xml:space="preserve"> Subject to this Agreement, the Provider grants the Customer a limited, non-exclusive, non-transferable, non-sub-licensable and revocable right to access and use the Service during the Evaluation Period, solely for the Evaluation Purpose and within the scope recorded in the Agreement particulars and Schedule A.</w:t>
      </w:r>
    </w:p>
    <w:p w14:paraId="001002A0" w14:textId="00100777">
      <w:pPr>
        <w:spacing w:after="120"/>
        <w:ind w:left="397" w:hanging="397"/>
        <w:jc w:val="both"/>
      </w:pPr>
      <w:r>
        <w:rPr>
          <w:rFonts w:ascii="Calibri" w:hAnsi="Calibri" w:eastAsia="Calibri"/>
          <w:b/>
          <w:color w:val="34322D"/>
          <w:sz w:val="21"/>
        </w:rPr>
        <w:t xml:space="preserve">3.2 Evaluation Purpose.</w:t>
      </w:r>
      <w:r>
        <w:rPr>
          <w:rFonts w:ascii="Calibri" w:hAnsi="Calibri" w:eastAsia="Calibri"/>
          <w:b w:val="false"/>
          <w:sz w:val="21"/>
        </w:rPr>
        <w:t xml:space="preserve"> The Evaluation Purpose is the Customer's internal assessment of whether the Service is suitable for its HSE operations, including configuration, workflow testing, data import, user acceptance testing and internal reporting on the outcome of the evaluation.</w:t>
      </w:r>
    </w:p>
    <w:p w14:paraId="001002A2" w14:textId="00100778">
      <w:pPr>
        <w:spacing w:after="120"/>
        <w:ind w:left="397" w:hanging="397"/>
        <w:jc w:val="both"/>
      </w:pPr>
      <w:r>
        <w:rPr>
          <w:rFonts w:ascii="Calibri" w:hAnsi="Calibri" w:eastAsia="Calibri"/>
          <w:b/>
          <w:color w:val="34322D"/>
          <w:sz w:val="21"/>
        </w:rPr>
        <w:t xml:space="preserve">3.3 Named users only.</w:t>
      </w:r>
      <w:r>
        <w:rPr>
          <w:rFonts w:ascii="Calibri" w:hAnsi="Calibri" w:eastAsia="Calibri"/>
          <w:b w:val="false"/>
          <w:sz w:val="21"/>
        </w:rPr>
        <w:t xml:space="preserve"> Access is granted for the named Users recorded in Schedule F. Credentials must not be shared between individuals, and the Customer must not permit any person who is not a named User to access the Evaluation Workspace.</w:t>
      </w:r>
    </w:p>
    <w:p w14:paraId="001002A4" w14:textId="00100779">
      <w:pPr>
        <w:spacing w:after="120"/>
        <w:ind w:left="397" w:hanging="397"/>
        <w:jc w:val="both"/>
      </w:pPr>
      <w:r>
        <w:rPr>
          <w:rFonts w:ascii="Calibri" w:hAnsi="Calibri" w:eastAsia="Calibri"/>
          <w:b/>
          <w:color w:val="34322D"/>
          <w:sz w:val="21"/>
        </w:rPr>
        <w:t xml:space="preserve">3.4 Restrictions.</w:t>
      </w:r>
      <w:r>
        <w:rPr>
          <w:rFonts w:ascii="Calibri" w:hAnsi="Calibri" w:eastAsia="Calibri"/>
          <w:b w:val="false"/>
          <w:sz w:val="21"/>
        </w:rPr>
        <w:t xml:space="preserve"> The Customer shall not: (a) use the Service for any purpose other than the Evaluation Purpose; (b) use the Service to provide services to a third party, or in a service bureau, bureau, outsourcing or time-sharing arrangement; (c) sell, resell, rent, lease, sub-licence or otherwise make the Service available to any third party; (d) copy, modify, translate, adapt or create derivative works of the Service, except as expressly permitted in writing; (e) reverse engineer, decompile, disassemble or attempt to derive the source code, structure, design, model weights, prompts or training data of the Service; (f) use the Service to develop, train or improve a competing or substitute product or service; (g) conduct penetration testing, vulnerability scanning, load testing or other security testing against the Service except under a separate written authorisation with a defined scope; (h) publish or share benchmark results, comparative performance data or test outcomes without the Provider's prior written consent; or (i) remove, obscure or alter any proprietary notice, watermark or attribution.</w:t>
      </w:r>
    </w:p>
    <w:p w14:paraId="001002A6" w14:textId="0010077A">
      <w:pPr>
        <w:spacing w:after="120"/>
        <w:ind w:left="397" w:hanging="397"/>
        <w:jc w:val="both"/>
      </w:pPr>
      <w:r>
        <w:rPr>
          <w:rFonts w:ascii="Calibri" w:hAnsi="Calibri" w:eastAsia="Calibri"/>
          <w:b/>
          <w:color w:val="34322D"/>
          <w:sz w:val="21"/>
        </w:rPr>
        <w:t xml:space="preserve">3.5 Reservation of rights.</w:t>
      </w:r>
      <w:r>
        <w:rPr>
          <w:rFonts w:ascii="Calibri" w:hAnsi="Calibri" w:eastAsia="Calibri"/>
          <w:b w:val="false"/>
          <w:sz w:val="21"/>
        </w:rPr>
        <w:t xml:space="preserve"> All rights not expressly granted in this Agreement are reserved to the Provider and its licensors. No licence, assignment or other right in respect of any intellectual property is granted by implication, estoppel or otherwise.</w:t>
      </w:r>
    </w:p>
    <w:p w14:paraId="001002A8" w14:textId="0010077B">
      <w:pPr>
        <w:spacing w:after="120"/>
        <w:ind w:left="397" w:hanging="397"/>
        <w:jc w:val="both"/>
      </w:pPr>
      <w:r>
        <w:rPr>
          <w:rFonts w:ascii="Calibri" w:hAnsi="Calibri" w:eastAsia="Calibri"/>
          <w:b/>
          <w:color w:val="34322D"/>
          <w:sz w:val="21"/>
        </w:rPr>
        <w:t xml:space="preserve">3.6 No production reliance.</w:t>
      </w:r>
      <w:r>
        <w:rPr>
          <w:rFonts w:ascii="Calibri" w:hAnsi="Calibri" w:eastAsia="Calibri"/>
          <w:b w:val="false"/>
          <w:sz w:val="21"/>
        </w:rPr>
        <w:t xml:space="preserve"> The evaluation is not a production service. The Customer shall not rely on the Evaluation Workspace as its only system of record for HSE obligations, and shall not treat AI-Assisted output or draft records produced during the evaluation as an authority approval, a competent-person sign-off or evidence for a regulatory submission without independent verification by a qualified person. Clause 19.4 applies.</w:t>
      </w:r>
    </w:p>
    <w:p w14:paraId="001002AA" w14:textId="0010077C">
      <w:pPr>
        <w:spacing w:after="120"/>
        <w:ind w:left="397" w:hanging="397"/>
        <w:jc w:val="both"/>
      </w:pPr>
      <w:r>
        <w:rPr>
          <w:rFonts w:ascii="Calibri" w:hAnsi="Calibri" w:eastAsia="Calibri"/>
          <w:b/>
          <w:color w:val="34322D"/>
          <w:sz w:val="21"/>
        </w:rPr>
        <w:t xml:space="preserve">3.7 Evaluation feedback.</w:t>
      </w:r>
      <w:r>
        <w:rPr>
          <w:rFonts w:ascii="Calibri" w:hAnsi="Calibri" w:eastAsia="Calibri"/>
          <w:b w:val="false"/>
          <w:sz w:val="21"/>
        </w:rPr>
        <w:t xml:space="preserve"> The Customer shall provide reasonable feedback on the Service during and at the end of the Evaluation Period, including on any defects, missing capability or usability issues it identifies.</w:t>
      </w:r>
    </w:p>
    <w:p w14:paraId="001002AC" w14:textId="001002AD">
      <w:pPr>
        <w:pStyle w:val="Heading1"/>
        <w:keepNext/>
        <w:keepLines/>
        <w:spacing w:before="360" w:after="160"/>
      </w:pPr>
      <w:r>
        <w:rPr>
          <w:rFonts w:ascii="Calibri" w:hAnsi="Calibri" w:eastAsia="Calibri"/>
          <w:b/>
          <w:color w:val="005A4B"/>
          <w:sz w:val="30"/>
        </w:rPr>
        <w:t xml:space="preserve">4. Access, provisioning and user administration</w:t>
      </w:r>
    </w:p>
    <w:p w14:paraId="001002AE" w14:textId="0010077D">
      <w:pPr>
        <w:spacing w:after="120"/>
        <w:ind w:left="397" w:hanging="397"/>
        <w:jc w:val="both"/>
      </w:pPr>
      <w:r>
        <w:rPr>
          <w:rFonts w:ascii="Calibri" w:hAnsi="Calibri" w:eastAsia="Calibri"/>
          <w:b/>
          <w:color w:val="34322D"/>
          <w:sz w:val="21"/>
        </w:rPr>
        <w:t xml:space="preserve">4.1 Provisioning.</w:t>
      </w:r>
      <w:r>
        <w:rPr>
          <w:rFonts w:ascii="Calibri" w:hAnsi="Calibri" w:eastAsia="Calibri"/>
          <w:b w:val="false"/>
          <w:sz w:val="21"/>
        </w:rPr>
        <w:t xml:space="preserve"> The Provider shall provision the Evaluation Workspace within three (3) Business Days after the Effective Date, or by any date agreed in the Order Form. The Provider shall provide the Customer's administrator with access details and a short onboarding session by video call or email.</w:t>
      </w:r>
    </w:p>
    <w:p w14:paraId="001002B0" w14:textId="0010077E">
      <w:pPr>
        <w:spacing w:after="120"/>
        <w:ind w:left="397" w:hanging="397"/>
        <w:jc w:val="both"/>
      </w:pPr>
      <w:r>
        <w:rPr>
          <w:rFonts w:ascii="Calibri" w:hAnsi="Calibri" w:eastAsia="Calibri"/>
          <w:b/>
          <w:color w:val="34322D"/>
          <w:sz w:val="21"/>
        </w:rPr>
        <w:t xml:space="preserve">4.2 Company-email enforcement.</w:t>
      </w:r>
      <w:r>
        <w:rPr>
          <w:rFonts w:ascii="Calibri" w:hAnsi="Calibri" w:eastAsia="Calibri"/>
          <w:b w:val="false"/>
          <w:sz w:val="21"/>
        </w:rPr>
        <w:t xml:space="preserve"> Workspace access may be restricted to the Customer's company email domain. Invitations and password resets are issued through verified email flows. The Customer is responsible for ensuring that the domain configured for the Evaluation Workspace is one it controls.</w:t>
      </w:r>
    </w:p>
    <w:p w14:paraId="001002B2" w14:textId="0010077F">
      <w:pPr>
        <w:spacing w:after="120"/>
        <w:ind w:left="397" w:hanging="397"/>
        <w:jc w:val="both"/>
      </w:pPr>
      <w:r>
        <w:rPr>
          <w:rFonts w:ascii="Calibri" w:hAnsi="Calibri" w:eastAsia="Calibri"/>
          <w:b/>
          <w:color w:val="34322D"/>
          <w:sz w:val="21"/>
        </w:rPr>
        <w:t xml:space="preserve">4.3 Roles.</w:t>
      </w:r>
      <w:r>
        <w:rPr>
          <w:rFonts w:ascii="Calibri" w:hAnsi="Calibri" w:eastAsia="Calibri"/>
          <w:b w:val="false"/>
          <w:sz w:val="21"/>
        </w:rPr>
        <w:t xml:space="preserve"> The Service applies role-based permissions. The standard roles and their intended scope are set out below. Roles are stored separately from user profiles and are enforced on the server.</w:t>
      </w:r>
    </w:p>
    <w:tbl>
      <w:tblPr>
        <w:tblW w:w="5000" w:type="pct"/>
        <w:tblBorders>
          <w:top w:val="single" w:color="DCDCDC" w:sz="4"/>
          <w:left w:val="single" w:color="DCDCDC" w:sz="4"/>
          <w:bottom w:val="single" w:color="DCDCDC" w:sz="4"/>
          <w:right w:val="single" w:color="DCDCDC" w:sz="4"/>
          <w:insideH w:val="single" w:color="DCDCDC" w:sz="4"/>
          <w:insideV w:val="none" w:sz="4"/>
        </w:tblBorders>
      </w:tblPr>
      <w:tblGrid>
        <w:gridCol w:w="1800"/>
        <w:gridCol w:w="5272"/>
        <w:gridCol w:w="2000"/>
      </w:tblGrid>
      <w:tr>
        <w:trPr/>
        <w:tc>
          <w:tcPr>
            <w:shd w:val="clear" w:fill="F0F0F0"/>
            <w:tcMar>
              <w:top w:w="60" w:type="dxa"/>
              <w:left w:w="110" w:type="dxa"/>
              <w:bottom w:w="60" w:type="dxa"/>
              <w:right w:w="110" w:type="dxa"/>
            </w:tcMar>
            <w:vAlign w:val="top"/>
          </w:tcPr>
          <w:p w14:paraId="001002B4" w14:textId="001002B5">
            <w:r>
              <w:rPr>
                <w:b/>
                <w:color w:val="34322D"/>
                <w:sz w:val="18"/>
              </w:rPr>
              <w:t xml:space="preserve">Role</w:t>
            </w:r>
          </w:p>
        </w:tc>
        <w:tc>
          <w:tcPr>
            <w:shd w:val="clear" w:fill="F0F0F0"/>
            <w:tcMar>
              <w:top w:w="60" w:type="dxa"/>
              <w:left w:w="110" w:type="dxa"/>
              <w:bottom w:w="60" w:type="dxa"/>
              <w:right w:w="110" w:type="dxa"/>
            </w:tcMar>
            <w:vAlign w:val="top"/>
          </w:tcPr>
          <w:p w14:paraId="001002B6" w14:textId="001002B7">
            <w:r>
              <w:rPr>
                <w:b/>
                <w:color w:val="34322D"/>
                <w:sz w:val="18"/>
              </w:rPr>
              <w:t xml:space="preserve">Intended use</w:t>
            </w:r>
          </w:p>
        </w:tc>
        <w:tc>
          <w:tcPr>
            <w:shd w:val="clear" w:fill="F0F0F0"/>
            <w:tcMar>
              <w:top w:w="60" w:type="dxa"/>
              <w:left w:w="110" w:type="dxa"/>
              <w:bottom w:w="60" w:type="dxa"/>
              <w:right w:w="110" w:type="dxa"/>
            </w:tcMar>
            <w:vAlign w:val="top"/>
          </w:tcPr>
          <w:p w14:paraId="001002B8" w14:textId="001002B9">
            <w:r>
              <w:rPr>
                <w:b/>
                <w:color w:val="34322D"/>
                <w:sz w:val="18"/>
              </w:rPr>
              <w:t xml:space="preserve">Typical holder</w:t>
            </w:r>
          </w:p>
        </w:tc>
      </w:tr>
      <w:tr>
        <w:trPr/>
        <w:tc>
          <w:tcPr>
            <w:shd w:val="clear" w:fill="F7F7F7"/>
            <w:tcMar>
              <w:top w:w="60" w:type="dxa"/>
              <w:left w:w="110" w:type="dxa"/>
              <w:bottom w:w="60" w:type="dxa"/>
              <w:right w:w="110" w:type="dxa"/>
            </w:tcMar>
            <w:vAlign w:val="top"/>
          </w:tcPr>
          <w:p w14:paraId="001002BA" w14:textId="001002BB">
            <w:r>
              <w:rPr>
                <w:b/>
                <w:sz w:val="18"/>
              </w:rPr>
              <w:t xml:space="preserve">Administrator</w:t>
            </w:r>
          </w:p>
        </w:tc>
        <w:tc>
          <w:tcPr>
            <w:tcMar>
              <w:top w:w="60" w:type="dxa"/>
              <w:left w:w="110" w:type="dxa"/>
              <w:bottom w:w="60" w:type="dxa"/>
              <w:right w:w="110" w:type="dxa"/>
            </w:tcMar>
            <w:vAlign w:val="top"/>
          </w:tcPr>
          <w:p w14:paraId="001002BC" w14:textId="001002BD">
            <w:r>
              <w:rPr>
                <w:sz w:val="18"/>
              </w:rPr>
              <w:t xml:space="preserve">Full configuration of the workspace, users, roles, sites, templates and retention settings; access to the audit log.</w:t>
            </w:r>
          </w:p>
        </w:tc>
        <w:tc>
          <w:tcPr>
            <w:tcMar>
              <w:top w:w="60" w:type="dxa"/>
              <w:left w:w="110" w:type="dxa"/>
              <w:bottom w:w="60" w:type="dxa"/>
              <w:right w:w="110" w:type="dxa"/>
            </w:tcMar>
            <w:vAlign w:val="top"/>
          </w:tcPr>
          <w:p w14:paraId="001002BE" w14:textId="001002BF">
            <w:r>
              <w:rPr>
                <w:sz w:val="18"/>
              </w:rPr>
              <w:t xml:space="preserve">HSE lead or IT administrator</w:t>
            </w:r>
          </w:p>
        </w:tc>
      </w:tr>
      <w:tr>
        <w:trPr/>
        <w:tc>
          <w:tcPr>
            <w:shd w:val="clear" w:fill="F7F7F7"/>
            <w:tcMar>
              <w:top w:w="60" w:type="dxa"/>
              <w:left w:w="110" w:type="dxa"/>
              <w:bottom w:w="60" w:type="dxa"/>
              <w:right w:w="110" w:type="dxa"/>
            </w:tcMar>
            <w:vAlign w:val="top"/>
          </w:tcPr>
          <w:p w14:paraId="001002C0" w14:textId="001002C1">
            <w:r>
              <w:rPr>
                <w:b/>
                <w:sz w:val="18"/>
              </w:rPr>
              <w:t xml:space="preserve">Manager</w:t>
            </w:r>
          </w:p>
        </w:tc>
        <w:tc>
          <w:tcPr>
            <w:tcMar>
              <w:top w:w="60" w:type="dxa"/>
              <w:left w:w="110" w:type="dxa"/>
              <w:bottom w:w="60" w:type="dxa"/>
              <w:right w:w="110" w:type="dxa"/>
            </w:tcMar>
            <w:vAlign w:val="top"/>
          </w:tcPr>
          <w:p w14:paraId="001002C2" w14:textId="001002C3">
            <w:r>
              <w:rPr>
                <w:sz w:val="18"/>
              </w:rPr>
              <w:t xml:space="preserve">Create and approve records, manage documents and reports across assigned sites; no user or billing administration.</w:t>
            </w:r>
          </w:p>
        </w:tc>
        <w:tc>
          <w:tcPr>
            <w:tcMar>
              <w:top w:w="60" w:type="dxa"/>
              <w:left w:w="110" w:type="dxa"/>
              <w:bottom w:w="60" w:type="dxa"/>
              <w:right w:w="110" w:type="dxa"/>
            </w:tcMar>
            <w:vAlign w:val="top"/>
          </w:tcPr>
          <w:p w14:paraId="001002C4" w14:textId="001002C5">
            <w:r>
              <w:rPr>
                <w:sz w:val="18"/>
              </w:rPr>
              <w:t xml:space="preserve">Project HSE manager</w:t>
            </w:r>
          </w:p>
        </w:tc>
      </w:tr>
      <w:tr>
        <w:trPr/>
        <w:tc>
          <w:tcPr>
            <w:shd w:val="clear" w:fill="F7F7F7"/>
            <w:tcMar>
              <w:top w:w="60" w:type="dxa"/>
              <w:left w:w="110" w:type="dxa"/>
              <w:bottom w:w="60" w:type="dxa"/>
              <w:right w:w="110" w:type="dxa"/>
            </w:tcMar>
            <w:vAlign w:val="top"/>
          </w:tcPr>
          <w:p w14:paraId="001002C6" w14:textId="001002C7">
            <w:r>
              <w:rPr>
                <w:b/>
                <w:sz w:val="18"/>
              </w:rPr>
              <w:t xml:space="preserve">Supervisor</w:t>
            </w:r>
          </w:p>
        </w:tc>
        <w:tc>
          <w:tcPr>
            <w:tcMar>
              <w:top w:w="60" w:type="dxa"/>
              <w:left w:w="110" w:type="dxa"/>
              <w:bottom w:w="60" w:type="dxa"/>
              <w:right w:w="110" w:type="dxa"/>
            </w:tcMar>
            <w:vAlign w:val="top"/>
          </w:tcPr>
          <w:p w14:paraId="001002C8" w14:textId="001002C9">
            <w:r>
              <w:rPr>
                <w:sz w:val="18"/>
              </w:rPr>
              <w:t xml:space="preserve">Create and progress records for assigned sites; raise and close permits, inspections and incidents; no workspace configuration.</w:t>
            </w:r>
          </w:p>
        </w:tc>
        <w:tc>
          <w:tcPr>
            <w:tcMar>
              <w:top w:w="60" w:type="dxa"/>
              <w:left w:w="110" w:type="dxa"/>
              <w:bottom w:w="60" w:type="dxa"/>
              <w:right w:w="110" w:type="dxa"/>
            </w:tcMar>
            <w:vAlign w:val="top"/>
          </w:tcPr>
          <w:p w14:paraId="001002CA" w14:textId="001002CB">
            <w:r>
              <w:rPr>
                <w:sz w:val="18"/>
              </w:rPr>
              <w:t xml:space="preserve">Site HSE officer or supervisor</w:t>
            </w:r>
          </w:p>
        </w:tc>
      </w:tr>
      <w:tr>
        <w:trPr/>
        <w:tc>
          <w:tcPr>
            <w:shd w:val="clear" w:fill="F7F7F7"/>
            <w:tcMar>
              <w:top w:w="60" w:type="dxa"/>
              <w:left w:w="110" w:type="dxa"/>
              <w:bottom w:w="60" w:type="dxa"/>
              <w:right w:w="110" w:type="dxa"/>
            </w:tcMar>
            <w:vAlign w:val="top"/>
          </w:tcPr>
          <w:p w14:paraId="001002CC" w14:textId="001002CD">
            <w:r>
              <w:rPr>
                <w:b/>
                <w:sz w:val="18"/>
              </w:rPr>
              <w:t xml:space="preserve">Viewer</w:t>
            </w:r>
          </w:p>
        </w:tc>
        <w:tc>
          <w:tcPr>
            <w:tcMar>
              <w:top w:w="60" w:type="dxa"/>
              <w:left w:w="110" w:type="dxa"/>
              <w:bottom w:w="60" w:type="dxa"/>
              <w:right w:w="110" w:type="dxa"/>
            </w:tcMar>
            <w:vAlign w:val="top"/>
          </w:tcPr>
          <w:p w14:paraId="001002CE" w14:textId="001002CF">
            <w:r>
              <w:rPr>
                <w:sz w:val="18"/>
              </w:rPr>
              <w:t xml:space="preserve">Read-only access to records and reports within the assigned scope.</w:t>
            </w:r>
          </w:p>
        </w:tc>
        <w:tc>
          <w:tcPr>
            <w:tcMar>
              <w:top w:w="60" w:type="dxa"/>
              <w:left w:w="110" w:type="dxa"/>
              <w:bottom w:w="60" w:type="dxa"/>
              <w:right w:w="110" w:type="dxa"/>
            </w:tcMar>
            <w:vAlign w:val="top"/>
          </w:tcPr>
          <w:p w14:paraId="001002D0" w14:textId="001002D1">
            <w:r>
              <w:rPr>
                <w:sz w:val="18"/>
              </w:rPr>
              <w:t xml:space="preserve">Client, consultant or auditor</w:t>
            </w:r>
          </w:p>
        </w:tc>
      </w:tr>
    </w:tbl>
    <w:p w14:paraId="001002D2" w14:textId="00100780">
      <w:pPr>
        <w:spacing w:after="120"/>
        <w:ind w:left="397" w:hanging="397"/>
        <w:jc w:val="both"/>
      </w:pPr>
      <w:r>
        <w:rPr>
          <w:rFonts w:ascii="Calibri" w:hAnsi="Calibri" w:eastAsia="Calibri"/>
          <w:b/>
          <w:color w:val="34322D"/>
          <w:sz w:val="21"/>
        </w:rPr>
        <w:t xml:space="preserve">4.4 Single sign-on.</w:t>
      </w:r>
      <w:r>
        <w:rPr>
          <w:rFonts w:ascii="Calibri" w:hAnsi="Calibri" w:eastAsia="Calibri"/>
          <w:b w:val="false"/>
          <w:sz w:val="21"/>
        </w:rPr>
        <w:t xml:space="preserve"> SAML single sign-on is available on the Enterprise Plan and may be enabled for the Evaluation Workspace on request. Automated SCIM directory provisioning and deprovisioning is not currently offered. User lifecycle is managed by the Customer's workspace administrators, and the Customer shall remove or disable access for any User who leaves its organisation or no longer requires access.</w:t>
      </w:r>
    </w:p>
    <w:p w14:paraId="001002D4" w14:textId="00100781">
      <w:pPr>
        <w:spacing w:after="120"/>
        <w:ind w:left="397" w:hanging="397"/>
        <w:jc w:val="both"/>
      </w:pPr>
      <w:r>
        <w:rPr>
          <w:rFonts w:ascii="Calibri" w:hAnsi="Calibri" w:eastAsia="Calibri"/>
          <w:b/>
          <w:color w:val="34322D"/>
          <w:sz w:val="21"/>
        </w:rPr>
        <w:t xml:space="preserve">4.5 Individual invite tokens.</w:t>
      </w:r>
      <w:r>
        <w:rPr>
          <w:rFonts w:ascii="Calibri" w:hAnsi="Calibri" w:eastAsia="Calibri"/>
          <w:b w:val="false"/>
          <w:sz w:val="21"/>
        </w:rPr>
        <w:t xml:space="preserve"> Where an individual needs to contribute to a site workflow but does not have a company email address, the Provider may issue an invite token. A token creates a separate, single-user limited account with access only to that user's own records and files. Such an account is not a User of the Evaluation Workspace and does not give access to the Customer's or any other organisation's information.</w:t>
      </w:r>
    </w:p>
    <w:p w14:paraId="001002D6" w14:textId="00100782">
      <w:pPr>
        <w:spacing w:after="120"/>
        <w:ind w:left="397" w:hanging="397"/>
        <w:jc w:val="both"/>
      </w:pPr>
      <w:r>
        <w:rPr>
          <w:rFonts w:ascii="Calibri" w:hAnsi="Calibri" w:eastAsia="Calibri"/>
          <w:b/>
          <w:color w:val="34322D"/>
          <w:sz w:val="21"/>
        </w:rPr>
        <w:t xml:space="preserve">4.6 Customer obligations on access.</w:t>
      </w:r>
      <w:r>
        <w:rPr>
          <w:rFonts w:ascii="Calibri" w:hAnsi="Calibri" w:eastAsia="Calibri"/>
          <w:b w:val="false"/>
          <w:sz w:val="21"/>
        </w:rPr>
        <w:t xml:space="preserve"> The Customer shall: (a) provide accurate account information and keep it up to date; (b) keep credentials and any second-factor device secure; (c) be responsible for all activity under its Users' accounts; (d) ensure each User has the competence appropriate to the role assigned; and (e) notify the Provider promptly of any suspected unauthorised access.</w:t>
      </w:r>
    </w:p>
    <w:p w14:paraId="001002D8" w14:textId="00100783">
      <w:pPr>
        <w:spacing w:after="120"/>
        <w:ind w:left="397" w:hanging="397"/>
        <w:jc w:val="both"/>
      </w:pPr>
      <w:r>
        <w:rPr>
          <w:rFonts w:ascii="Calibri" w:hAnsi="Calibri" w:eastAsia="Calibri"/>
          <w:b/>
          <w:color w:val="34322D"/>
          <w:sz w:val="21"/>
        </w:rPr>
        <w:t xml:space="preserve">4.7 Suspension of individual access.</w:t>
      </w:r>
      <w:r>
        <w:rPr>
          <w:rFonts w:ascii="Calibri" w:hAnsi="Calibri" w:eastAsia="Calibri"/>
          <w:b w:val="false"/>
          <w:sz w:val="21"/>
        </w:rPr>
        <w:t xml:space="preserve"> The Provider may suspend an individual account where it reasonably believes the account has been compromised, is being used in breach of clause 3.4, or is required to be suspended by law. The Provider shall notify the Customer's administrator promptly and restore access once the ground for suspension has been resolved.</w:t>
      </w:r>
    </w:p>
    <w:p w14:paraId="001002DA" w14:textId="001002DB">
      <w:pPr>
        <w:pStyle w:val="Heading1"/>
        <w:keepNext/>
        <w:keepLines/>
        <w:spacing w:before="360" w:after="160"/>
      </w:pPr>
      <w:r>
        <w:rPr>
          <w:rFonts w:ascii="Calibri" w:hAnsi="Calibri" w:eastAsia="Calibri"/>
          <w:b/>
          <w:color w:val="005A4B"/>
          <w:sz w:val="30"/>
        </w:rPr>
        <w:t xml:space="preserve">5. Evaluation period, extension and conversion</w:t>
      </w:r>
    </w:p>
    <w:p w14:paraId="001002DC" w14:textId="00100784">
      <w:pPr>
        <w:spacing w:after="120"/>
        <w:ind w:left="397" w:hanging="397"/>
        <w:jc w:val="both"/>
      </w:pPr>
      <w:r>
        <w:rPr>
          <w:rFonts w:ascii="Calibri" w:hAnsi="Calibri" w:eastAsia="Calibri"/>
          <w:b/>
          <w:color w:val="34322D"/>
          <w:sz w:val="21"/>
        </w:rPr>
        <w:t xml:space="preserve">5.1 Evaluation Period.</w:t>
      </w:r>
      <w:r>
        <w:rPr>
          <w:rFonts w:ascii="Calibri" w:hAnsi="Calibri" w:eastAsia="Calibri"/>
          <w:b w:val="false"/>
          <w:sz w:val="21"/>
        </w:rPr>
        <w:t xml:space="preserve"> The evaluation begins on the Effective Date and continues for the period stated in the Agreement particulars, unless extended or terminated earlier under this Agreement.</w:t>
      </w:r>
    </w:p>
    <w:p w14:paraId="001002DE" w14:textId="00100785">
      <w:pPr>
        <w:spacing w:after="120"/>
        <w:ind w:left="397" w:hanging="397"/>
        <w:jc w:val="both"/>
      </w:pPr>
      <w:r>
        <w:rPr>
          <w:rFonts w:ascii="Calibri" w:hAnsi="Calibri" w:eastAsia="Calibri"/>
          <w:b/>
          <w:color w:val="34322D"/>
          <w:sz w:val="21"/>
        </w:rPr>
        <w:t xml:space="preserve">5.2 Extension.</w:t>
      </w:r>
      <w:r>
        <w:rPr>
          <w:rFonts w:ascii="Calibri" w:hAnsi="Calibri" w:eastAsia="Calibri"/>
          <w:b w:val="false"/>
          <w:sz w:val="21"/>
        </w:rPr>
        <w:t xml:space="preserve"> The Parties may extend the Evaluation Period by written agreement. An extension may also arise automatically under Schedule B where a Service Credit is taken as an extension of the evaluation rather than as a monetary credit.</w:t>
      </w:r>
    </w:p>
    <w:p w14:paraId="001002E0" w14:textId="00100786">
      <w:pPr>
        <w:spacing w:after="120"/>
        <w:ind w:left="397" w:hanging="397"/>
        <w:jc w:val="both"/>
      </w:pPr>
      <w:r>
        <w:rPr>
          <w:rFonts w:ascii="Calibri" w:hAnsi="Calibri" w:eastAsia="Calibri"/>
          <w:b/>
          <w:color w:val="34322D"/>
          <w:sz w:val="21"/>
        </w:rPr>
        <w:t xml:space="preserve">5.3 Conversion to a subscription.</w:t>
      </w:r>
      <w:r>
        <w:rPr>
          <w:rFonts w:ascii="Calibri" w:hAnsi="Calibri" w:eastAsia="Calibri"/>
          <w:b w:val="false"/>
          <w:sz w:val="21"/>
        </w:rPr>
        <w:t xml:space="preserve"> The Customer may convert to an Enterprise subscription at any time during the Evaluation Period by signing an Order Form. On conversion: (a) the subscription term and fees are those recorded in the Order Form; (b) this Agreement continues to apply to the extent it is not superseded by the Order Form; and (c) any Service Credit accrued and not yet applied may be taken as a credit against the first invoice, as recorded in the Order Form.</w:t>
      </w:r>
    </w:p>
    <w:p w14:paraId="001002E2" w14:textId="00100787">
      <w:pPr>
        <w:spacing w:after="120"/>
        <w:ind w:left="397" w:hanging="397"/>
        <w:jc w:val="both"/>
      </w:pPr>
      <w:r>
        <w:rPr>
          <w:rFonts w:ascii="Calibri" w:hAnsi="Calibri" w:eastAsia="Calibri"/>
          <w:b/>
          <w:color w:val="34322D"/>
          <w:sz w:val="21"/>
        </w:rPr>
        <w:t xml:space="preserve">5.4 No automatic charge.</w:t>
      </w:r>
      <w:r>
        <w:rPr>
          <w:rFonts w:ascii="Calibri" w:hAnsi="Calibri" w:eastAsia="Calibri"/>
          <w:b w:val="false"/>
          <w:sz w:val="21"/>
        </w:rPr>
        <w:t xml:space="preserve"> The evaluation does not convert automatically into a paid subscription and does not create any automatic charge. No payment instrument is required to begin an evaluation. Billing begins only if and when the Customer signs an Order Form or completes a subscription through the Provider's checkout.</w:t>
      </w:r>
    </w:p>
    <w:p w14:paraId="001002E4" w14:textId="00100788">
      <w:pPr>
        <w:spacing w:after="120"/>
        <w:ind w:left="397" w:hanging="397"/>
        <w:jc w:val="both"/>
      </w:pPr>
      <w:r>
        <w:rPr>
          <w:rFonts w:ascii="Calibri" w:hAnsi="Calibri" w:eastAsia="Calibri"/>
          <w:b/>
          <w:color w:val="34322D"/>
          <w:sz w:val="21"/>
        </w:rPr>
        <w:t xml:space="preserve">5.5 Position at the end of the evaluation.</w:t>
      </w:r>
      <w:r>
        <w:rPr>
          <w:rFonts w:ascii="Calibri" w:hAnsi="Calibri" w:eastAsia="Calibri"/>
          <w:b w:val="false"/>
          <w:sz w:val="21"/>
        </w:rPr>
        <w:t xml:space="preserve"> If the Customer does not convert or extend, access to the Evaluation Workspace ends at the close of the Evaluation Period and clause 18 applies to Customer Content. Where the Customer holds a separate free or personal account, that account is unaffected, except that any workspace it was invited into is removed.</w:t>
      </w:r>
    </w:p>
    <w:p w14:paraId="001002E6" w14:textId="001002E7">
      <w:pPr>
        <w:pStyle w:val="Heading1"/>
        <w:keepNext/>
        <w:keepLines/>
        <w:spacing w:before="360" w:after="160"/>
      </w:pPr>
      <w:r>
        <w:rPr>
          <w:rFonts w:ascii="Calibri" w:hAnsi="Calibri" w:eastAsia="Calibri"/>
          <w:b/>
          <w:color w:val="005A4B"/>
          <w:sz w:val="30"/>
        </w:rPr>
        <w:t xml:space="preserve">6. Fees, payment and taxes</w:t>
      </w:r>
    </w:p>
    <w:p w14:paraId="001002E8" w14:textId="00100789">
      <w:pPr>
        <w:spacing w:after="120"/>
        <w:ind w:left="397" w:hanging="397"/>
        <w:jc w:val="both"/>
      </w:pPr>
      <w:r>
        <w:rPr>
          <w:rFonts w:ascii="Calibri" w:hAnsi="Calibri" w:eastAsia="Calibri"/>
          <w:b/>
          <w:color w:val="34322D"/>
          <w:sz w:val="21"/>
        </w:rPr>
        <w:t xml:space="preserve">6.1 Fees during the evaluation.</w:t>
      </w:r>
      <w:r>
        <w:rPr>
          <w:rFonts w:ascii="Calibri" w:hAnsi="Calibri" w:eastAsia="Calibri"/>
          <w:b w:val="false"/>
          <w:sz w:val="21"/>
        </w:rPr>
        <w:t xml:space="preserve"> The fees for the Evaluation Period are those recorded in the Agreement particulars. Where the evaluation is provided at no charge, the Provider still provides the service levels in Schedule B and Schedule C, and Service Credits are taken as an extension of the Evaluation Period under Schedule B.</w:t>
      </w:r>
    </w:p>
    <w:p w14:paraId="001002EA" w14:textId="0010078A">
      <w:pPr>
        <w:spacing w:after="120"/>
        <w:ind w:left="397" w:hanging="397"/>
        <w:jc w:val="both"/>
      </w:pPr>
      <w:r>
        <w:rPr>
          <w:rFonts w:ascii="Calibri" w:hAnsi="Calibri" w:eastAsia="Calibri"/>
          <w:b/>
          <w:color w:val="34322D"/>
          <w:sz w:val="21"/>
        </w:rPr>
        <w:t xml:space="preserve">6.2 Conversion fees.</w:t>
      </w:r>
      <w:r>
        <w:rPr>
          <w:rFonts w:ascii="Calibri" w:hAnsi="Calibri" w:eastAsia="Calibri"/>
          <w:b w:val="false"/>
          <w:sz w:val="21"/>
        </w:rPr>
        <w:t xml:space="preserve"> Fees for any subscription following the evaluation are those recorded in the Order Form or published on the Provider's pricing page at the date of the Order Form. Enterprise pricing may be tailored to sites, users and volume.</w:t>
      </w:r>
    </w:p>
    <w:p w14:paraId="001002EC" w14:textId="0010078B">
      <w:pPr>
        <w:spacing w:after="120"/>
        <w:ind w:left="397" w:hanging="397"/>
        <w:jc w:val="both"/>
      </w:pPr>
      <w:r>
        <w:rPr>
          <w:rFonts w:ascii="Calibri" w:hAnsi="Calibri" w:eastAsia="Calibri"/>
          <w:b/>
          <w:color w:val="34322D"/>
          <w:sz w:val="21"/>
        </w:rPr>
        <w:t xml:space="preserve">6.3 Merchant of Record.</w:t>
      </w:r>
      <w:r>
        <w:rPr>
          <w:rFonts w:ascii="Calibri" w:hAnsi="Calibri" w:eastAsia="Calibri"/>
          <w:b w:val="false"/>
          <w:sz w:val="21"/>
        </w:rPr>
        <w:t xml:space="preserve"> Self-serve online subscriptions are processed by Paddle.com as Merchant of Record, and Paddle's buyer terms apply to those purchases. Enterprise orders under an Order Form may instead be invoiced by the Provider and paid by bank transfer as stated on the invoice.</w:t>
      </w:r>
    </w:p>
    <w:p w14:paraId="001002EE" w14:textId="0010078C">
      <w:pPr>
        <w:spacing w:after="120"/>
        <w:ind w:left="397" w:hanging="397"/>
        <w:jc w:val="both"/>
      </w:pPr>
      <w:r>
        <w:rPr>
          <w:rFonts w:ascii="Calibri" w:hAnsi="Calibri" w:eastAsia="Calibri"/>
          <w:b/>
          <w:color w:val="34322D"/>
          <w:sz w:val="21"/>
        </w:rPr>
        <w:t xml:space="preserve">6.4 Taxes.</w:t>
      </w:r>
      <w:r>
        <w:rPr>
          <w:rFonts w:ascii="Calibri" w:hAnsi="Calibri" w:eastAsia="Calibri"/>
          <w:b w:val="false"/>
          <w:sz w:val="21"/>
        </w:rPr>
        <w:t xml:space="preserve"> Fees are stated exclusive of applicable taxes. Taxes are calculated at checkout based on the Customer's billing location. Each Party is responsible for its own taxes on its own income.</w:t>
      </w:r>
    </w:p>
    <w:p w14:paraId="001002F0" w14:textId="0010078D">
      <w:pPr>
        <w:spacing w:after="120"/>
        <w:ind w:left="397" w:hanging="397"/>
        <w:jc w:val="both"/>
      </w:pPr>
      <w:r>
        <w:rPr>
          <w:rFonts w:ascii="Calibri" w:hAnsi="Calibri" w:eastAsia="Calibri"/>
          <w:b/>
          <w:color w:val="34322D"/>
          <w:sz w:val="21"/>
        </w:rPr>
        <w:t xml:space="preserve">6.5 Overages.</w:t>
      </w:r>
      <w:r>
        <w:rPr>
          <w:rFonts w:ascii="Calibri" w:hAnsi="Calibri" w:eastAsia="Calibri"/>
          <w:b w:val="false"/>
          <w:sz w:val="21"/>
        </w:rPr>
        <w:t xml:space="preserve"> Where the Customer exceeds an allowance recorded in the Agreement particulars, such as the monthly AI Action allowance or included storage, the Provider shall notify the Customer's administrator. Overages are charged only where the Order Form or the Customer's subscription provides for them, at the published overage rate. The Provider shall not charge an overage during a no-charge evaluation unless the Order Form expressly permits it.</w:t>
      </w:r>
    </w:p>
    <w:p w14:paraId="001002F2" w14:textId="0010078E">
      <w:pPr>
        <w:spacing w:after="120"/>
        <w:ind w:left="397" w:hanging="397"/>
        <w:jc w:val="both"/>
      </w:pPr>
      <w:r>
        <w:rPr>
          <w:rFonts w:ascii="Calibri" w:hAnsi="Calibri" w:eastAsia="Calibri"/>
          <w:b/>
          <w:color w:val="34322D"/>
          <w:sz w:val="21"/>
        </w:rPr>
        <w:t xml:space="preserve">6.6 No set-off.</w:t>
      </w:r>
      <w:r>
        <w:rPr>
          <w:rFonts w:ascii="Calibri" w:hAnsi="Calibri" w:eastAsia="Calibri"/>
          <w:b w:val="false"/>
          <w:sz w:val="21"/>
        </w:rPr>
        <w:t xml:space="preserve"> Neither Party may set off any amount owed to it against an amount owed by it, except where the amount is undisputed or has been determined by a court or arbitral tribunal.</w:t>
      </w:r>
    </w:p>
    <w:p w14:paraId="001002F4" w14:textId="001002F5">
      <w:pPr>
        <w:pStyle w:val="Heading1"/>
        <w:keepNext/>
        <w:keepLines/>
        <w:spacing w:before="360" w:after="160"/>
      </w:pPr>
      <w:r>
        <w:rPr>
          <w:rFonts w:ascii="Calibri" w:hAnsi="Calibri" w:eastAsia="Calibri"/>
          <w:b/>
          <w:color w:val="005A4B"/>
          <w:sz w:val="30"/>
        </w:rPr>
        <w:t xml:space="preserve">7. Service availability target</w:t>
      </w:r>
    </w:p>
    <w:p w14:paraId="001002F6" w14:textId="0010078F">
      <w:pPr>
        <w:spacing w:after="120"/>
        <w:ind w:left="397" w:hanging="397"/>
        <w:jc w:val="both"/>
      </w:pPr>
      <w:r>
        <w:rPr>
          <w:rFonts w:ascii="Calibri" w:hAnsi="Calibri" w:eastAsia="Calibri"/>
          <w:b/>
          <w:color w:val="34322D"/>
          <w:sz w:val="21"/>
        </w:rPr>
        <w:t xml:space="preserve">7.1 Availability target. The Provider shall use reasonable efforts to make the core Service available to the Customer at an Uptime Percentage of 99.9% in each calendar month. This is a target, not a guarantee: the Provider does not yet hold a measured availability history that evidences it. Service Credits under Schedule B apply when measured uptime falls below the target</w:t>
      </w:r>
      <w:r>
        <w:rPr>
          <w:rFonts w:ascii="Calibri" w:hAnsi="Calibri" w:eastAsia="Calibri"/>
          <w:b w:val="false"/>
          <w:sz w:val="21"/>
        </w:rPr>
        <w:t xml:space="preserve"> during the Evaluation Period, calculated in accordance with Schedule B. The Availability target applies to the hosted Service only and to the core Service as defined in Schedule B.</w:t>
      </w:r>
    </w:p>
    <w:p w14:paraId="001002F8" w14:textId="00100790">
      <w:pPr>
        <w:spacing w:after="120"/>
        <w:ind w:left="397" w:hanging="397"/>
        <w:jc w:val="both"/>
      </w:pPr>
      <w:r>
        <w:rPr>
          <w:rFonts w:ascii="Calibri" w:hAnsi="Calibri" w:eastAsia="Calibri"/>
          <w:b/>
          <w:color w:val="34322D"/>
          <w:sz w:val="21"/>
        </w:rPr>
        <w:t xml:space="preserve">7.2 Measurement.</w:t>
      </w:r>
      <w:r>
        <w:rPr>
          <w:rFonts w:ascii="Calibri" w:hAnsi="Calibri" w:eastAsia="Calibri"/>
          <w:b w:val="false"/>
          <w:sz w:val="21"/>
        </w:rPr>
        <w:t xml:space="preserve"> Availability is measured continuously by automated monitoring against the Provider's public health endpoint, with automated outage alerting. The measurement method, the calculation, the treatment of partial degradation and the exclusions are set out in Schedule B.</w:t>
      </w:r>
    </w:p>
    <w:p w14:paraId="001002FA" w14:textId="00100791">
      <w:pPr>
        <w:spacing w:after="120"/>
        <w:ind w:left="397" w:hanging="397"/>
        <w:jc w:val="both"/>
      </w:pPr>
      <w:r>
        <w:rPr>
          <w:rFonts w:ascii="Calibri" w:hAnsi="Calibri" w:eastAsia="Calibri"/>
          <w:b/>
          <w:color w:val="34322D"/>
          <w:sz w:val="21"/>
        </w:rPr>
        <w:t xml:space="preserve">7.3 Scheduled maintenance.</w:t>
      </w:r>
      <w:r>
        <w:rPr>
          <w:rFonts w:ascii="Calibri" w:hAnsi="Calibri" w:eastAsia="Calibri"/>
          <w:b w:val="false"/>
          <w:sz w:val="21"/>
        </w:rPr>
        <w:t xml:space="preserve"> The Provider may perform scheduled maintenance during the Scheduled Maintenance Windows set out in Schedule B. The Provider shall give the Customer's administrator at least seventy-two (72) hours' notice of a Scheduled Maintenance Window that is expected to cause Downtime, and shall use reasonable efforts to minimise its duration and impact.</w:t>
      </w:r>
    </w:p>
    <w:p w14:paraId="001002FC" w14:textId="00100792">
      <w:pPr>
        <w:spacing w:after="120"/>
        <w:ind w:left="397" w:hanging="397"/>
        <w:jc w:val="both"/>
      </w:pPr>
      <w:r>
        <w:rPr>
          <w:rFonts w:ascii="Calibri" w:hAnsi="Calibri" w:eastAsia="Calibri"/>
          <w:b/>
          <w:color w:val="34322D"/>
          <w:sz w:val="21"/>
        </w:rPr>
        <w:t xml:space="preserve">7.4 Emergency maintenance.</w:t>
      </w:r>
      <w:r>
        <w:rPr>
          <w:rFonts w:ascii="Calibri" w:hAnsi="Calibri" w:eastAsia="Calibri"/>
          <w:b w:val="false"/>
          <w:sz w:val="21"/>
        </w:rPr>
        <w:t xml:space="preserve"> Where urgent maintenance is required to protect the security, integrity or stability of the Service, the Provider may act outside a Scheduled Maintenance Window. It shall give the Customer's administrator as much notice as is reasonably practicable and shall publish a short post-incident summary on request. Emergency maintenance carried out in good faith and reported as required is Excluded Downtime, unless it is recurring and reasonably avoidable.</w:t>
      </w:r>
    </w:p>
    <w:p w14:paraId="001002FE" w14:textId="00100793">
      <w:pPr>
        <w:spacing w:after="120"/>
        <w:ind w:left="397" w:hanging="397"/>
        <w:jc w:val="both"/>
      </w:pPr>
      <w:r>
        <w:rPr>
          <w:rFonts w:ascii="Calibri" w:hAnsi="Calibri" w:eastAsia="Calibri"/>
          <w:b/>
          <w:color w:val="34322D"/>
          <w:sz w:val="21"/>
        </w:rPr>
        <w:t xml:space="preserve">7.5 Service Credits.</w:t>
      </w:r>
      <w:r>
        <w:rPr>
          <w:rFonts w:ascii="Calibri" w:hAnsi="Calibri" w:eastAsia="Calibri"/>
          <w:b w:val="false"/>
          <w:sz w:val="21"/>
        </w:rPr>
        <w:t xml:space="preserve"> If the Uptime Percentage in a calendar month falls below the target in clause 7.1, the Customer is entitled to a Service Credit calculated under Schedule B. During a no-charge evaluation, the Service Credit is taken as an extension of the Evaluation Period at no cost.</w:t>
      </w:r>
    </w:p>
    <w:p w14:paraId="00100300" w14:textId="00100794">
      <w:pPr>
        <w:spacing w:after="120"/>
        <w:ind w:left="397" w:hanging="397"/>
        <w:jc w:val="both"/>
      </w:pPr>
      <w:r>
        <w:rPr>
          <w:rFonts w:ascii="Calibri" w:hAnsi="Calibri" w:eastAsia="Calibri"/>
          <w:b/>
          <w:color w:val="34322D"/>
          <w:sz w:val="21"/>
        </w:rPr>
        <w:t xml:space="preserve">7.6 Reporting.</w:t>
      </w:r>
      <w:r>
        <w:rPr>
          <w:rFonts w:ascii="Calibri" w:hAnsi="Calibri" w:eastAsia="Calibri"/>
          <w:b w:val="false"/>
          <w:sz w:val="21"/>
        </w:rPr>
        <w:t xml:space="preserve"> The Provider shall provide the Customer with a monthly availability summary on request, within five (5) Business Days of the end of the calendar month, showing the measured Uptime Percentage, any Downtime events with duration and cause, and any Service Credit accrued.</w:t>
      </w:r>
    </w:p>
    <w:p w14:paraId="00100302" w14:textId="00100795">
      <w:pPr>
        <w:spacing w:after="120"/>
        <w:ind w:left="397" w:hanging="397"/>
        <w:jc w:val="both"/>
      </w:pPr>
      <w:r>
        <w:rPr>
          <w:rFonts w:ascii="Calibri" w:hAnsi="Calibri" w:eastAsia="Calibri"/>
          <w:b/>
          <w:color w:val="34322D"/>
          <w:sz w:val="21"/>
        </w:rPr>
        <w:t xml:space="preserve">7.7 Sole remedy.</w:t>
      </w:r>
      <w:r>
        <w:rPr>
          <w:rFonts w:ascii="Calibri" w:hAnsi="Calibri" w:eastAsia="Calibri"/>
          <w:b w:val="false"/>
          <w:sz w:val="21"/>
        </w:rPr>
        <w:t xml:space="preserve"> Service Credits are the Customer's sole and exclusive financial remedy for a failure to meet the Availability target. This does not limit the Customer's rights for a breach of clause 10, clause 11 or clause 14, or any right that cannot lawfully be limited.</w:t>
      </w:r>
    </w:p>
    <w:p w14:paraId="00100304" w14:textId="00100305">
      <w:pPr>
        <w:pStyle w:val="Heading1"/>
        <w:keepNext/>
        <w:keepLines/>
        <w:spacing w:before="360" w:after="160"/>
      </w:pPr>
      <w:r>
        <w:rPr>
          <w:rFonts w:ascii="Calibri" w:hAnsi="Calibri" w:eastAsia="Calibri"/>
          <w:b/>
          <w:color w:val="005A4B"/>
          <w:sz w:val="30"/>
        </w:rPr>
        <w:t xml:space="preserve">8. Support and escalation</w:t>
      </w:r>
    </w:p>
    <w:p w14:paraId="00100306" w14:textId="00100796">
      <w:pPr>
        <w:spacing w:after="120"/>
        <w:ind w:left="397" w:hanging="397"/>
        <w:jc w:val="both"/>
      </w:pPr>
      <w:r>
        <w:rPr>
          <w:rFonts w:ascii="Calibri" w:hAnsi="Calibri" w:eastAsia="Calibri"/>
          <w:b/>
          <w:color w:val="34322D"/>
          <w:sz w:val="21"/>
        </w:rPr>
        <w:t xml:space="preserve">8.1 Support scope.</w:t>
      </w:r>
      <w:r>
        <w:rPr>
          <w:rFonts w:ascii="Calibri" w:hAnsi="Calibri" w:eastAsia="Calibri"/>
          <w:b w:val="false"/>
          <w:sz w:val="21"/>
        </w:rPr>
        <w:t xml:space="preserve"> The Provider shall provide support through the Enterprise support tier described in Schedule C. Support covers defect reports and platform outages, account, access and billing issues, product questions and guided setup help, and clarification of the Provider's UAE authority report templates.</w:t>
      </w:r>
    </w:p>
    <w:p w14:paraId="00100308" w14:textId="00100797">
      <w:pPr>
        <w:spacing w:after="120"/>
        <w:ind w:left="397" w:hanging="397"/>
        <w:jc w:val="both"/>
      </w:pPr>
      <w:r>
        <w:rPr>
          <w:rFonts w:ascii="Calibri" w:hAnsi="Calibri" w:eastAsia="Calibri"/>
          <w:b/>
          <w:color w:val="34322D"/>
          <w:sz w:val="21"/>
        </w:rPr>
        <w:t xml:space="preserve">8.2 Exclusions from support.</w:t>
      </w:r>
      <w:r>
        <w:rPr>
          <w:rFonts w:ascii="Calibri" w:hAnsi="Calibri" w:eastAsia="Calibri"/>
          <w:b w:val="false"/>
          <w:sz w:val="21"/>
        </w:rPr>
        <w:t xml:space="preserve"> Support does not include on-site consulting, external audits, classroom training, the preparation of bespoke documents outside what the Service generates, custom development outside the published roadmap, regulatory representation, or a 24-hour telephone hotline. Support is email-first.</w:t>
      </w:r>
    </w:p>
    <w:p w14:paraId="0010030A" w14:textId="00100798">
      <w:pPr>
        <w:spacing w:after="120"/>
        <w:ind w:left="397" w:hanging="397"/>
        <w:jc w:val="both"/>
      </w:pPr>
      <w:r>
        <w:rPr>
          <w:rFonts w:ascii="Calibri" w:hAnsi="Calibri" w:eastAsia="Calibri"/>
          <w:b/>
          <w:color w:val="34322D"/>
          <w:sz w:val="21"/>
        </w:rPr>
        <w:t xml:space="preserve">8.3 Severity levels.</w:t>
      </w:r>
      <w:r>
        <w:rPr>
          <w:rFonts w:ascii="Calibri" w:hAnsi="Calibri" w:eastAsia="Calibri"/>
          <w:b w:val="false"/>
          <w:sz w:val="21"/>
        </w:rPr>
        <w:t xml:space="preserve"> Incidents and requests are classified by Severity Level as set out in Schedule C. The Customer assigns a proposed Severity Level when raising a ticket, and the Provider may reclassify it after triage, giving reasons. Where the Parties disagree and the matter is material, clause 25.3 applies.</w:t>
      </w:r>
    </w:p>
    <w:p w14:paraId="0010030C" w14:textId="00100799">
      <w:pPr>
        <w:spacing w:after="120"/>
        <w:ind w:left="397" w:hanging="397"/>
        <w:jc w:val="both"/>
      </w:pPr>
      <w:r>
        <w:rPr>
          <w:rFonts w:ascii="Calibri" w:hAnsi="Calibri" w:eastAsia="Calibri"/>
          <w:b/>
          <w:color w:val="34322D"/>
          <w:sz w:val="21"/>
        </w:rPr>
        <w:t xml:space="preserve">8.4 Response and resolution targets.</w:t>
      </w:r>
      <w:r>
        <w:rPr>
          <w:rFonts w:ascii="Calibri" w:hAnsi="Calibri" w:eastAsia="Calibri"/>
          <w:b w:val="false"/>
          <w:sz w:val="21"/>
        </w:rPr>
        <w:t xml:space="preserve"> The Provider shall meet the acknowledgement, response and resolution targets set out in Schedule C. Where a fix requires a software change, the Provider shall confirm its diagnosis within the target period, provide a workaround where one exists, and keep the Customer updated until the fix ships.</w:t>
      </w:r>
    </w:p>
    <w:p w14:paraId="0010030E" w14:textId="0010079A">
      <w:pPr>
        <w:spacing w:after="120"/>
        <w:ind w:left="397" w:hanging="397"/>
        <w:jc w:val="both"/>
      </w:pPr>
      <w:r>
        <w:rPr>
          <w:rFonts w:ascii="Calibri" w:hAnsi="Calibri" w:eastAsia="Calibri"/>
          <w:b/>
          <w:color w:val="34322D"/>
          <w:sz w:val="21"/>
        </w:rPr>
        <w:t xml:space="preserve">8.5 Support Hours.</w:t>
      </w:r>
      <w:r>
        <w:rPr>
          <w:rFonts w:ascii="Calibri" w:hAnsi="Calibri" w:eastAsia="Calibri"/>
          <w:b w:val="false"/>
          <w:sz w:val="21"/>
        </w:rPr>
        <w:t xml:space="preserve"> Support is provided during Support Hours as set out in Schedule C. The Provider operates a founder-led support model and responds to S1 incidents outside Support Hours on a best-efforts basis.</w:t>
      </w:r>
    </w:p>
    <w:p w14:paraId="00100310" w14:textId="0010079B">
      <w:pPr>
        <w:spacing w:after="120"/>
        <w:ind w:left="397" w:hanging="397"/>
        <w:jc w:val="both"/>
      </w:pPr>
      <w:r>
        <w:rPr>
          <w:rFonts w:ascii="Calibri" w:hAnsi="Calibri" w:eastAsia="Calibri"/>
          <w:b/>
          <w:color w:val="34322D"/>
          <w:sz w:val="21"/>
        </w:rPr>
        <w:t xml:space="preserve">8.6 Escalation.</w:t>
      </w:r>
      <w:r>
        <w:rPr>
          <w:rFonts w:ascii="Calibri" w:hAnsi="Calibri" w:eastAsia="Calibri"/>
          <w:b w:val="false"/>
          <w:sz w:val="21"/>
        </w:rPr>
        <w:t xml:space="preserve"> Either Party may escalate a ticket through the escalation path in Schedule C. The Provider shall provide a named account contact and priority escalation for the Enterprise tier.</w:t>
      </w:r>
    </w:p>
    <w:p w14:paraId="00100312" w14:textId="0010079C">
      <w:pPr>
        <w:spacing w:after="120"/>
        <w:ind w:left="397" w:hanging="397"/>
        <w:jc w:val="both"/>
      </w:pPr>
      <w:r>
        <w:rPr>
          <w:rFonts w:ascii="Calibri" w:hAnsi="Calibri" w:eastAsia="Calibri"/>
          <w:b/>
          <w:color w:val="34322D"/>
          <w:sz w:val="21"/>
        </w:rPr>
        <w:t xml:space="preserve">8.7 Cooperation.</w:t>
      </w:r>
      <w:r>
        <w:rPr>
          <w:rFonts w:ascii="Calibri" w:hAnsi="Calibri" w:eastAsia="Calibri"/>
          <w:b w:val="false"/>
          <w:sz w:val="21"/>
        </w:rPr>
        <w:t xml:space="preserve"> The Customer shall provide the information reasonably required to investigate and resolve a ticket, including a description of the issue, the affected Users and sites, the time the issue was observed, and any error messages or screenshots. Response targets are suspended while the Provider is waiting for information it has reasonably requested.</w:t>
      </w:r>
    </w:p>
    <w:p w14:paraId="00100314" w14:textId="00100315">
      <w:pPr>
        <w:pStyle w:val="Heading1"/>
        <w:keepNext/>
        <w:keepLines/>
        <w:spacing w:before="360" w:after="160"/>
      </w:pPr>
      <w:r>
        <w:rPr>
          <w:rFonts w:ascii="Calibri" w:hAnsi="Calibri" w:eastAsia="Calibri"/>
          <w:b/>
          <w:color w:val="005A4B"/>
          <w:sz w:val="30"/>
        </w:rPr>
        <w:t xml:space="preserve">9. Disaster recovery, backup and continuity</w:t>
      </w:r>
    </w:p>
    <w:p w14:paraId="00100316" w14:textId="0010079D">
      <w:pPr>
        <w:spacing w:after="120"/>
        <w:ind w:left="397" w:hanging="397"/>
        <w:jc w:val="both"/>
      </w:pPr>
      <w:r>
        <w:rPr>
          <w:rFonts w:ascii="Calibri" w:hAnsi="Calibri" w:eastAsia="Calibri"/>
          <w:b/>
          <w:color w:val="34322D"/>
          <w:sz w:val="21"/>
        </w:rPr>
        <w:t xml:space="preserve">9.1 Backups.</w:t>
      </w:r>
      <w:r>
        <w:rPr>
          <w:rFonts w:ascii="Calibri" w:hAnsi="Calibri" w:eastAsia="Calibri"/>
          <w:b w:val="false"/>
          <w:sz w:val="21"/>
        </w:rPr>
        <w:t xml:space="preserve"> The Provider maintains rolling backups of the managed database, with point-in-time recovery available for the retention window applicable to the Evaluation Workspace. Backups are encrypted at rest by the infrastructure provider and are held separately from the production environment.</w:t>
      </w:r>
    </w:p>
    <w:p w14:paraId="00100318" w14:textId="0010079E">
      <w:pPr>
        <w:spacing w:after="120"/>
        <w:ind w:left="397" w:hanging="397"/>
        <w:jc w:val="both"/>
      </w:pPr>
      <w:r>
        <w:rPr>
          <w:rFonts w:ascii="Calibri" w:hAnsi="Calibri" w:eastAsia="Calibri"/>
          <w:b/>
          <w:color w:val="34322D"/>
          <w:sz w:val="21"/>
        </w:rPr>
        <w:t xml:space="preserve">9.2 Restore targets.</w:t>
      </w:r>
      <w:r>
        <w:rPr>
          <w:rFonts w:ascii="Calibri" w:hAnsi="Calibri" w:eastAsia="Calibri"/>
          <w:b w:val="false"/>
          <w:sz w:val="21"/>
        </w:rPr>
        <w:t xml:space="preserve"> Recovery point and recovery time objectives are agreed for Enterprise agreements and recorded in the Order Form. The Provider does not publish a universal RTO or RPO that it cannot evidence for every deployment, and the targets agreed for this evaluation are those recorded in the Agreement particulars or the Order Form.</w:t>
      </w:r>
    </w:p>
    <w:p w14:paraId="0010031A" w14:textId="0010079F">
      <w:pPr>
        <w:spacing w:after="120"/>
        <w:ind w:left="397" w:hanging="397"/>
        <w:jc w:val="both"/>
      </w:pPr>
      <w:r>
        <w:rPr>
          <w:rFonts w:ascii="Calibri" w:hAnsi="Calibri" w:eastAsia="Calibri"/>
          <w:b/>
          <w:color w:val="34322D"/>
          <w:sz w:val="21"/>
        </w:rPr>
        <w:t xml:space="preserve">9.3 Restore testing.</w:t>
      </w:r>
      <w:r>
        <w:rPr>
          <w:rFonts w:ascii="Calibri" w:hAnsi="Calibri" w:eastAsia="Calibri"/>
          <w:b w:val="false"/>
          <w:sz w:val="21"/>
        </w:rPr>
        <w:t xml:space="preserve"> The Provider tests restore procedures periodically and shall, on reasonable written request not more than once in any twelve-month period, demonstrate a restore of Customer Content into a non-production environment using a representative backup, subject to the Customer's written authorisation.</w:t>
      </w:r>
    </w:p>
    <w:p w14:paraId="0010031C" w14:textId="001007A0">
      <w:pPr>
        <w:spacing w:after="120"/>
        <w:ind w:left="397" w:hanging="397"/>
        <w:jc w:val="both"/>
      </w:pPr>
      <w:r>
        <w:rPr>
          <w:rFonts w:ascii="Calibri" w:hAnsi="Calibri" w:eastAsia="Calibri"/>
          <w:b/>
          <w:color w:val="34322D"/>
          <w:sz w:val="21"/>
        </w:rPr>
        <w:t xml:space="preserve">9.4 Customer-side continuity.</w:t>
      </w:r>
      <w:r>
        <w:rPr>
          <w:rFonts w:ascii="Calibri" w:hAnsi="Calibri" w:eastAsia="Calibri"/>
          <w:b w:val="false"/>
          <w:sz w:val="21"/>
        </w:rPr>
        <w:t xml:space="preserve"> The Customer shall maintain its own offline or independent copy of HSE records that it is required by law, by a client or by an authority to retain. The Service is a system of record and evidence tool, not a substitute for the Customer's own statutory record-keeping obligations.</w:t>
      </w:r>
    </w:p>
    <w:p w14:paraId="0010031E" w14:textId="001007A1">
      <w:pPr>
        <w:spacing w:after="120"/>
        <w:ind w:left="397" w:hanging="397"/>
        <w:jc w:val="both"/>
      </w:pPr>
      <w:r>
        <w:rPr>
          <w:rFonts w:ascii="Calibri" w:hAnsi="Calibri" w:eastAsia="Calibri"/>
          <w:b/>
          <w:color w:val="34322D"/>
          <w:sz w:val="21"/>
        </w:rPr>
        <w:t xml:space="preserve">9.5 Continuity during the evaluation.</w:t>
      </w:r>
      <w:r>
        <w:rPr>
          <w:rFonts w:ascii="Calibri" w:hAnsi="Calibri" w:eastAsia="Calibri"/>
          <w:b w:val="false"/>
          <w:sz w:val="21"/>
        </w:rPr>
        <w:t xml:space="preserve"> Where a material failure prevents use of the Evaluation Workspace for more than five (5) consecutive Business Days, the Customer may extend the Evaluation Period by the period of the failure, without charge, by written notice.</w:t>
      </w:r>
    </w:p>
    <w:p w14:paraId="00100320" w14:textId="00100321">
      <w:pPr>
        <w:pStyle w:val="Heading1"/>
        <w:keepNext/>
        <w:keepLines/>
        <w:spacing w:before="360" w:after="160"/>
      </w:pPr>
      <w:r>
        <w:rPr>
          <w:rFonts w:ascii="Calibri" w:hAnsi="Calibri" w:eastAsia="Calibri"/>
          <w:b/>
          <w:color w:val="005A4B"/>
          <w:sz w:val="30"/>
        </w:rPr>
        <w:t xml:space="preserve">10. Security and assurance</w:t>
      </w:r>
    </w:p>
    <w:p w14:paraId="00100322" w14:textId="001007A2">
      <w:pPr>
        <w:spacing w:after="120"/>
        <w:ind w:left="397" w:hanging="397"/>
        <w:jc w:val="both"/>
      </w:pPr>
      <w:r>
        <w:rPr>
          <w:rFonts w:ascii="Calibri" w:hAnsi="Calibri" w:eastAsia="Calibri"/>
          <w:b/>
          <w:color w:val="34322D"/>
          <w:sz w:val="21"/>
        </w:rPr>
        <w:t xml:space="preserve">10.1 Security controls.</w:t>
      </w:r>
      <w:r>
        <w:rPr>
          <w:rFonts w:ascii="Calibri" w:hAnsi="Calibri" w:eastAsia="Calibri"/>
          <w:b w:val="false"/>
          <w:sz w:val="21"/>
        </w:rPr>
        <w:t xml:space="preserve"> The Provider maintains the controls set out in Schedule D. Those controls are enabled on every workspace by default. The Provider may improve or replace a control provided that the overall level of protection is not materially reduced.</w:t>
      </w:r>
    </w:p>
    <w:p w14:paraId="00100324" w14:textId="001007A3">
      <w:pPr>
        <w:spacing w:after="120"/>
        <w:ind w:left="397" w:hanging="397"/>
        <w:jc w:val="both"/>
      </w:pPr>
      <w:r>
        <w:rPr>
          <w:rFonts w:ascii="Calibri" w:hAnsi="Calibri" w:eastAsia="Calibri"/>
          <w:b/>
          <w:color w:val="34322D"/>
          <w:sz w:val="21"/>
        </w:rPr>
        <w:t xml:space="preserve">10.2 Certifications and independent testing.</w:t>
      </w:r>
      <w:r>
        <w:rPr>
          <w:rFonts w:ascii="Calibri" w:hAnsi="Calibri" w:eastAsia="Calibri"/>
          <w:b w:val="false"/>
          <w:sz w:val="21"/>
        </w:rPr>
        <w:t xml:space="preserve"> The Provider does not hold ISO 27001 or SOC 2 certification, and has not completed an independent penetration test at the Effective Date. The Provider does not claim otherwise. Automated dependency and platform security scanning runs against every release, and the results of that scanning can be discussed under the Mutual Non-Disclosure Agreement. If independent testing or certification is required, the Parties shall agree the scope, timing and cost in the Order Form or a separate written agreement.</w:t>
      </w:r>
    </w:p>
    <w:p w14:paraId="00100326" w14:textId="001007A4">
      <w:pPr>
        <w:spacing w:after="120"/>
        <w:ind w:left="397" w:hanging="397"/>
        <w:jc w:val="both"/>
      </w:pPr>
      <w:r>
        <w:rPr>
          <w:rFonts w:ascii="Calibri" w:hAnsi="Calibri" w:eastAsia="Calibri"/>
          <w:b/>
          <w:color w:val="34322D"/>
          <w:sz w:val="21"/>
        </w:rPr>
        <w:t xml:space="preserve">10.3 Vulnerability management.</w:t>
      </w:r>
      <w:r>
        <w:rPr>
          <w:rFonts w:ascii="Calibri" w:hAnsi="Calibri" w:eastAsia="Calibri"/>
          <w:b w:val="false"/>
          <w:sz w:val="21"/>
        </w:rPr>
        <w:t xml:space="preserve"> The Provider triages reported vulnerabilities, prioritises remediation by severity and impact, and notifies affected Customers of a confirmed vulnerability that requires Customer action without undue delay.</w:t>
      </w:r>
    </w:p>
    <w:p w14:paraId="00100328" w14:textId="001007A5">
      <w:pPr>
        <w:spacing w:after="120"/>
        <w:ind w:left="397" w:hanging="397"/>
        <w:jc w:val="both"/>
      </w:pPr>
      <w:r>
        <w:rPr>
          <w:rFonts w:ascii="Calibri" w:hAnsi="Calibri" w:eastAsia="Calibri"/>
          <w:b/>
          <w:color w:val="34322D"/>
          <w:sz w:val="21"/>
        </w:rPr>
        <w:t xml:space="preserve">10.4 Vulnerability reporting.</w:t>
      </w:r>
      <w:r>
        <w:rPr>
          <w:rFonts w:ascii="Calibri" w:hAnsi="Calibri" w:eastAsia="Calibri"/>
          <w:b w:val="false"/>
          <w:sz w:val="21"/>
        </w:rPr>
        <w:t xml:space="preserve"> The Customer and its Users may report a suspected vulnerability to info@sitesafetyuae.com. The Provider acknowledges reports within two (2) UAE Business Days, keeps the reporter informed, and does not pursue good-faith researchers who avoid privacy violations, data destruction and service disruption.</w:t>
      </w:r>
    </w:p>
    <w:p w14:paraId="0010032A" w14:textId="001007A6">
      <w:pPr>
        <w:spacing w:after="120"/>
        <w:ind w:left="397" w:hanging="397"/>
        <w:jc w:val="both"/>
      </w:pPr>
      <w:r>
        <w:rPr>
          <w:rFonts w:ascii="Calibri" w:hAnsi="Calibri" w:eastAsia="Calibri"/>
          <w:b/>
          <w:color w:val="34322D"/>
          <w:sz w:val="21"/>
        </w:rPr>
        <w:t xml:space="preserve">10.5 Security pack.</w:t>
      </w:r>
      <w:r>
        <w:rPr>
          <w:rFonts w:ascii="Calibri" w:hAnsi="Calibri" w:eastAsia="Calibri"/>
          <w:b w:val="false"/>
          <w:sz w:val="21"/>
        </w:rPr>
        <w:t xml:space="preserve"> On request, the Provider shall provide the Customer with its current subprocessor list, data-flow summary, Data Processing Agreement and written responses to a reasonable security questionnaire, before signature if required.</w:t>
      </w:r>
    </w:p>
    <w:p w14:paraId="0010032C" w14:textId="001007A7">
      <w:pPr>
        <w:spacing w:after="120"/>
        <w:ind w:left="397" w:hanging="397"/>
        <w:jc w:val="both"/>
      </w:pPr>
      <w:r>
        <w:rPr>
          <w:rFonts w:ascii="Calibri" w:hAnsi="Calibri" w:eastAsia="Calibri"/>
          <w:b/>
          <w:color w:val="34322D"/>
          <w:sz w:val="21"/>
        </w:rPr>
        <w:t xml:space="preserve">10.6 Customer security responsibilities.</w:t>
      </w:r>
      <w:r>
        <w:rPr>
          <w:rFonts w:ascii="Calibri" w:hAnsi="Calibri" w:eastAsia="Calibri"/>
          <w:b w:val="false"/>
          <w:sz w:val="21"/>
        </w:rPr>
        <w:t xml:space="preserve"> The Customer shall assign roles correctly, restrict access on a need-to-know basis, remove access for leavers, protect its own credentials and second-factor devices, and comply with the acceptable use and security policies referenced in clause 2.1. Schedule D allocates responsibilities in detail.</w:t>
      </w:r>
    </w:p>
    <w:p w14:paraId="0010032E" w14:textId="001007A8">
      <w:pPr>
        <w:spacing w:after="120"/>
        <w:ind w:left="397" w:hanging="397"/>
        <w:jc w:val="both"/>
      </w:pPr>
      <w:r>
        <w:rPr>
          <w:rFonts w:ascii="Calibri" w:hAnsi="Calibri" w:eastAsia="Calibri"/>
          <w:b/>
          <w:color w:val="34322D"/>
          <w:sz w:val="21"/>
        </w:rPr>
        <w:t xml:space="preserve">10.7 Audit.</w:t>
      </w:r>
      <w:r>
        <w:rPr>
          <w:rFonts w:ascii="Calibri" w:hAnsi="Calibri" w:eastAsia="Calibri"/>
          <w:b w:val="false"/>
          <w:sz w:val="21"/>
        </w:rPr>
        <w:t xml:space="preserve"> The Provider's assurance model is documentation-based. The Customer may audit compliance with this Agreement by reviewing the security pack, the availability report provided under clause 7.6 and the audit log exported from the Evaluation Workspace. On-site audits and audits of the Provider's infrastructure by the Customer are not offered during an evaluation.</w:t>
      </w:r>
    </w:p>
    <w:p w14:paraId="00100330" w14:textId="001007A9">
      <w:pPr>
        <w:spacing w:after="120"/>
        <w:ind w:left="397" w:hanging="397"/>
        <w:jc w:val="both"/>
      </w:pPr>
      <w:r>
        <w:rPr>
          <w:rFonts w:ascii="Calibri" w:hAnsi="Calibri" w:eastAsia="Calibri"/>
          <w:b/>
          <w:color w:val="34322D"/>
          <w:sz w:val="21"/>
        </w:rPr>
        <w:t xml:space="preserve">10.8 Security incident notification.</w:t>
      </w:r>
      <w:r>
        <w:rPr>
          <w:rFonts w:ascii="Calibri" w:hAnsi="Calibri" w:eastAsia="Calibri"/>
          <w:b w:val="false"/>
          <w:sz w:val="21"/>
        </w:rPr>
        <w:t xml:space="preserve"> The Provider shall notify the Customer's administrator without undue delay after confirming a security incident affecting Customer Content, with the facts known at the time, and shall provide a follow-up summary once its review closes.</w:t>
      </w:r>
    </w:p>
    <w:p w14:paraId="00100332" w14:textId="00100333">
      <w:pPr>
        <w:pStyle w:val="Heading1"/>
        <w:keepNext/>
        <w:keepLines/>
        <w:spacing w:before="360" w:after="160"/>
      </w:pPr>
      <w:r>
        <w:rPr>
          <w:rFonts w:ascii="Calibri" w:hAnsi="Calibri" w:eastAsia="Calibri"/>
          <w:b/>
          <w:color w:val="005A4B"/>
          <w:sz w:val="30"/>
        </w:rPr>
        <w:t xml:space="preserve">11. Data protection</w:t>
      </w:r>
    </w:p>
    <w:p w14:paraId="00100334" w14:textId="001007AA">
      <w:pPr>
        <w:spacing w:after="120"/>
        <w:ind w:left="397" w:hanging="397"/>
        <w:jc w:val="both"/>
      </w:pPr>
      <w:r>
        <w:rPr>
          <w:rFonts w:ascii="Calibri" w:hAnsi="Calibri" w:eastAsia="Calibri"/>
          <w:b/>
          <w:color w:val="34322D"/>
          <w:sz w:val="21"/>
        </w:rPr>
        <w:t xml:space="preserve">11.1 Data Processing Agreement.</w:t>
      </w:r>
      <w:r>
        <w:rPr>
          <w:rFonts w:ascii="Calibri" w:hAnsi="Calibri" w:eastAsia="Calibri"/>
          <w:b w:val="false"/>
          <w:sz w:val="21"/>
        </w:rPr>
        <w:t xml:space="preserve"> The Parties shall sign the Data Processing Agreement before Customer Content containing Personal Data is uploaded to the Evaluation Workspace. The Data Processing Agreement governs the processing of that Personal Data and prevails over this clause 11 to the extent of any conflict.</w:t>
      </w:r>
    </w:p>
    <w:p w14:paraId="00100336" w14:textId="001007AB">
      <w:pPr>
        <w:spacing w:after="120"/>
        <w:ind w:left="397" w:hanging="397"/>
        <w:jc w:val="both"/>
      </w:pPr>
      <w:r>
        <w:rPr>
          <w:rFonts w:ascii="Calibri" w:hAnsi="Calibri" w:eastAsia="Calibri"/>
          <w:b/>
          <w:color w:val="34322D"/>
          <w:sz w:val="21"/>
        </w:rPr>
        <w:t xml:space="preserve">11.2 Roles.</w:t>
      </w:r>
      <w:r>
        <w:rPr>
          <w:rFonts w:ascii="Calibri" w:hAnsi="Calibri" w:eastAsia="Calibri"/>
          <w:b w:val="false"/>
          <w:sz w:val="21"/>
        </w:rPr>
        <w:t xml:space="preserve"> For Personal Data within Customer Content, the Customer is the controller and the Provider is the processor. For account, billing, support and marketing information that the Provider collects directly, the Provider is the controller and the Privacy Policy applies.</w:t>
      </w:r>
    </w:p>
    <w:p w14:paraId="00100338" w14:textId="001007AC">
      <w:pPr>
        <w:spacing w:after="120"/>
        <w:ind w:left="397" w:hanging="397"/>
        <w:jc w:val="both"/>
      </w:pPr>
      <w:r>
        <w:rPr>
          <w:rFonts w:ascii="Calibri" w:hAnsi="Calibri" w:eastAsia="Calibri"/>
          <w:b/>
          <w:color w:val="34322D"/>
          <w:sz w:val="21"/>
        </w:rPr>
        <w:t xml:space="preserve">11.3 Compliance.</w:t>
      </w:r>
      <w:r>
        <w:rPr>
          <w:rFonts w:ascii="Calibri" w:hAnsi="Calibri" w:eastAsia="Calibri"/>
          <w:b w:val="false"/>
          <w:sz w:val="21"/>
        </w:rPr>
        <w:t xml:space="preserve"> Each Party shall comply with applicable data protection law, including the UAE Personal Data Protection Law (Federal Decree-Law No. 45 of 2021), its implementing regulations and any applicable free-zone or emirate-level requirements. The Provider does not claim any certification of compliance.</w:t>
      </w:r>
    </w:p>
    <w:p w14:paraId="0010033A" w14:textId="001007AD">
      <w:pPr>
        <w:spacing w:after="120"/>
        <w:ind w:left="397" w:hanging="397"/>
        <w:jc w:val="both"/>
      </w:pPr>
      <w:r>
        <w:rPr>
          <w:rFonts w:ascii="Calibri" w:hAnsi="Calibri" w:eastAsia="Calibri"/>
          <w:b/>
          <w:color w:val="34322D"/>
          <w:sz w:val="21"/>
        </w:rPr>
        <w:t xml:space="preserve">11.4 Subprocessors.</w:t>
      </w:r>
      <w:r>
        <w:rPr>
          <w:rFonts w:ascii="Calibri" w:hAnsi="Calibri" w:eastAsia="Calibri"/>
          <w:b w:val="false"/>
          <w:sz w:val="21"/>
        </w:rPr>
        <w:t xml:space="preserve"> The Provider engages subprocessors for hosting, database, authentication, storage, email delivery, payment processing, error monitoring and optional AI inference. The current list is provided with the security pack. The Provider shall give the Customer reasonable notice of the addition or replacement of a subprocessor that processes Personal Data, and the Customer may object on reasonable data protection grounds. If the Parties cannot resolve an objection, the Customer may terminate the evaluation on written notice without charge.</w:t>
      </w:r>
    </w:p>
    <w:p w14:paraId="0010033C" w14:textId="001007AE">
      <w:pPr>
        <w:spacing w:after="120"/>
        <w:ind w:left="397" w:hanging="397"/>
        <w:jc w:val="both"/>
      </w:pPr>
      <w:r>
        <w:rPr>
          <w:rFonts w:ascii="Calibri" w:hAnsi="Calibri" w:eastAsia="Calibri"/>
          <w:b/>
          <w:color w:val="34322D"/>
          <w:sz w:val="21"/>
        </w:rPr>
        <w:t xml:space="preserve">11.5 International transfers.</w:t>
      </w:r>
      <w:r>
        <w:rPr>
          <w:rFonts w:ascii="Calibri" w:hAnsi="Calibri" w:eastAsia="Calibri"/>
          <w:b w:val="false"/>
          <w:sz w:val="21"/>
        </w:rPr>
        <w:t xml:space="preserve"> The Provider's infrastructure providers may process data in the United Arab Emirates, the European Economic Area, the United Kingdom or other regions. Where Personal Data is transferred outside the United Arab Emirates, the Provider relies on its providers' safeguards and shall make available the information reasonably required by the Customer to satisfy its own transfer assessment.</w:t>
      </w:r>
    </w:p>
    <w:p w14:paraId="0010033E" w14:textId="001007AF">
      <w:pPr>
        <w:spacing w:after="120"/>
        <w:ind w:left="397" w:hanging="397"/>
        <w:jc w:val="both"/>
      </w:pPr>
      <w:r>
        <w:rPr>
          <w:rFonts w:ascii="Calibri" w:hAnsi="Calibri" w:eastAsia="Calibri"/>
          <w:b/>
          <w:color w:val="34322D"/>
          <w:sz w:val="21"/>
        </w:rPr>
        <w:t xml:space="preserve">11.6 Retention and deletion.</w:t>
      </w:r>
      <w:r>
        <w:rPr>
          <w:rFonts w:ascii="Calibri" w:hAnsi="Calibri" w:eastAsia="Calibri"/>
          <w:b w:val="false"/>
          <w:sz w:val="21"/>
        </w:rPr>
        <w:t xml:space="preserve"> Customer Content is retained for as long as the Evaluation Workspace is active. Workspace owners may delete individual records at any time. On closure of the Evaluation Workspace, live data and storage objects are deleted or anonymised within thirty (30) days, excluding backup copies, which expire on their own retention cycle of up to a further thirty (30) days. A written deletion confirmation is available on request.</w:t>
      </w:r>
    </w:p>
    <w:p w14:paraId="00100340" w14:textId="001007B0">
      <w:pPr>
        <w:spacing w:after="120"/>
        <w:ind w:left="397" w:hanging="397"/>
        <w:jc w:val="both"/>
      </w:pPr>
      <w:r>
        <w:rPr>
          <w:rFonts w:ascii="Calibri" w:hAnsi="Calibri" w:eastAsia="Calibri"/>
          <w:b/>
          <w:color w:val="34322D"/>
          <w:sz w:val="21"/>
        </w:rPr>
        <w:t xml:space="preserve">11.7 Data subject requests.</w:t>
      </w:r>
      <w:r>
        <w:rPr>
          <w:rFonts w:ascii="Calibri" w:hAnsi="Calibri" w:eastAsia="Calibri"/>
          <w:b w:val="false"/>
          <w:sz w:val="21"/>
        </w:rPr>
        <w:t xml:space="preserve"> The Provider shall provide reasonable assistance to the Customer in responding to a request from a data subject relating to Personal Data in Customer Content, including by making available the functionality to access, correct, export or delete records. The Customer shall raise such requests with the Provider through the Customer administrator.</w:t>
      </w:r>
    </w:p>
    <w:p w14:paraId="00100342" w14:textId="001007B1">
      <w:pPr>
        <w:spacing w:after="120"/>
        <w:ind w:left="397" w:hanging="397"/>
        <w:jc w:val="both"/>
      </w:pPr>
      <w:r>
        <w:rPr>
          <w:rFonts w:ascii="Calibri" w:hAnsi="Calibri" w:eastAsia="Calibri"/>
          <w:b/>
          <w:color w:val="34322D"/>
          <w:sz w:val="21"/>
        </w:rPr>
        <w:t xml:space="preserve">11.8 Personal data breach.</w:t>
      </w:r>
      <w:r>
        <w:rPr>
          <w:rFonts w:ascii="Calibri" w:hAnsi="Calibri" w:eastAsia="Calibri"/>
          <w:b w:val="false"/>
          <w:sz w:val="21"/>
        </w:rPr>
        <w:t xml:space="preserve"> The Provider shall notify the Customer without undue delay, and in any event within forty-eight (48) hours, after becoming aware of a personal data breach affecting Personal Data in Customer Content, and shall provide the information reasonably required by the Customer to meet its own notification obligations.</w:t>
      </w:r>
    </w:p>
    <w:p w14:paraId="00100344" w14:textId="001007B2">
      <w:pPr>
        <w:spacing w:after="120"/>
        <w:ind w:left="397" w:hanging="397"/>
        <w:jc w:val="both"/>
      </w:pPr>
      <w:r>
        <w:rPr>
          <w:rFonts w:ascii="Calibri" w:hAnsi="Calibri" w:eastAsia="Calibri"/>
          <w:b/>
          <w:color w:val="34322D"/>
          <w:sz w:val="21"/>
        </w:rPr>
        <w:t xml:space="preserve">11.9 Data residency.</w:t>
      </w:r>
      <w:r>
        <w:rPr>
          <w:rFonts w:ascii="Calibri" w:hAnsi="Calibri" w:eastAsia="Calibri"/>
          <w:b w:val="false"/>
          <w:sz w:val="21"/>
        </w:rPr>
        <w:t xml:space="preserve"> At the date of this template the Service is hosted in Ireland (European Union); it is not hosted in the United Arab Emirates, and the Provider makes no UAE data-residency commitment. The primary region in which Customer Content is stored is recorded in the Agreement particulars and is confirmed in writing by the Provider on request. The Provider shall notify Enterprise customers before any change to that region. Customer-controlled region selection may be agreed in an Order Form where the Provider is able to support it.</w:t>
      </w:r>
    </w:p>
    <w:p w14:paraId="00100346" w14:textId="001007B3">
      <w:pPr>
        <w:spacing w:after="120"/>
        <w:ind w:left="397" w:hanging="397"/>
        <w:jc w:val="both"/>
      </w:pPr>
      <w:r>
        <w:rPr>
          <w:rFonts w:ascii="Calibri" w:hAnsi="Calibri" w:eastAsia="Calibri"/>
          <w:b/>
          <w:color w:val="34322D"/>
          <w:sz w:val="21"/>
        </w:rPr>
        <w:t xml:space="preserve">11.10 Worker health and fitness data.</w:t>
      </w:r>
      <w:r>
        <w:rPr>
          <w:rFonts w:ascii="Calibri" w:hAnsi="Calibri" w:eastAsia="Calibri"/>
          <w:b w:val="false"/>
          <w:sz w:val="21"/>
        </w:rPr>
        <w:t xml:space="preserve"> Where Customer Content includes health, fitness-to-work, medical, injury or rehabilitation information about workers, the Parties shall apply heightened protection: access restricted to named authorised personnel, purpose limitation to the Evaluation Purpose, and no use for any other purpose. The Customer confirms that it has a lawful basis for uploading such information.</w:t>
      </w:r>
    </w:p>
    <w:p w14:paraId="00100348" w14:textId="00100349">
      <w:pPr>
        <w:pStyle w:val="Heading1"/>
        <w:keepNext/>
        <w:keepLines/>
        <w:spacing w:before="360" w:after="160"/>
      </w:pPr>
      <w:r>
        <w:rPr>
          <w:rFonts w:ascii="Calibri" w:hAnsi="Calibri" w:eastAsia="Calibri"/>
          <w:b/>
          <w:color w:val="005A4B"/>
          <w:sz w:val="30"/>
        </w:rPr>
        <w:t xml:space="preserve">12. AI-assisted features</w:t>
      </w:r>
    </w:p>
    <w:p w14:paraId="0010034A" w14:textId="001007B4">
      <w:pPr>
        <w:spacing w:after="120"/>
        <w:ind w:left="397" w:hanging="397"/>
        <w:jc w:val="both"/>
      </w:pPr>
      <w:r>
        <w:rPr>
          <w:rFonts w:ascii="Calibri" w:hAnsi="Calibri" w:eastAsia="Calibri"/>
          <w:b/>
          <w:color w:val="34322D"/>
          <w:sz w:val="21"/>
        </w:rPr>
        <w:t xml:space="preserve">12.1 Optional.</w:t>
      </w:r>
      <w:r>
        <w:rPr>
          <w:rFonts w:ascii="Calibri" w:hAnsi="Calibri" w:eastAsia="Calibri"/>
          <w:b w:val="false"/>
          <w:sz w:val="21"/>
        </w:rPr>
        <w:t xml:space="preserve"> The AI-Assisted Features are optional and may be disabled for the Evaluation Workspace at any time by the Customer's administrator. Every core workflow — controlled documents, permits, inspections, incidents and CAPA, MSRA/RAMS, training, subcontractor compliance, KPIs and audit evidence — works fully with AI disabled.</w:t>
      </w:r>
    </w:p>
    <w:p w14:paraId="0010034C" w14:textId="001007B5">
      <w:pPr>
        <w:spacing w:after="120"/>
        <w:ind w:left="397" w:hanging="397"/>
        <w:jc w:val="both"/>
      </w:pPr>
      <w:r>
        <w:rPr>
          <w:rFonts w:ascii="Calibri" w:hAnsi="Calibri" w:eastAsia="Calibri"/>
          <w:b/>
          <w:color w:val="34322D"/>
          <w:sz w:val="21"/>
        </w:rPr>
        <w:t xml:space="preserve">12.2 Draft only.</w:t>
      </w:r>
      <w:r>
        <w:rPr>
          <w:rFonts w:ascii="Calibri" w:hAnsi="Calibri" w:eastAsia="Calibri"/>
          <w:b w:val="false"/>
          <w:sz w:val="21"/>
        </w:rPr>
        <w:t xml:space="preserve"> AI output is a drafting aid and a starting point. It is not an authority decision, not a competent-person sign-off and not a substitute for professional judgement. Before any AI-assisted content is used on site, shared with a subcontractor, filed as evidence or submitted to a regulator, it must be reviewed and approved by a person with the competence and authority for the Customer's project.</w:t>
      </w:r>
    </w:p>
    <w:p w14:paraId="0010034E" w14:textId="001007B6">
      <w:pPr>
        <w:spacing w:after="120"/>
        <w:ind w:left="397" w:hanging="397"/>
        <w:jc w:val="both"/>
      </w:pPr>
      <w:r>
        <w:rPr>
          <w:rFonts w:ascii="Calibri" w:hAnsi="Calibri" w:eastAsia="Calibri"/>
          <w:b/>
          <w:color w:val="34322D"/>
          <w:sz w:val="21"/>
        </w:rPr>
        <w:t xml:space="preserve">12.3 No regulatory reliance.</w:t>
      </w:r>
      <w:r>
        <w:rPr>
          <w:rFonts w:ascii="Calibri" w:hAnsi="Calibri" w:eastAsia="Calibri"/>
          <w:b w:val="false"/>
          <w:sz w:val="21"/>
        </w:rPr>
        <w:t xml:space="preserve"> The Customer shall not rely on an AI-Assisted Feature's interpretation of a statute, code of practice or authority requirement. AI output must be verified against the Customer's approved procedures, the applicable legal references and the requirements of the relevant UAE authority.</w:t>
      </w:r>
    </w:p>
    <w:p w14:paraId="00100350" w14:textId="001007B7">
      <w:pPr>
        <w:spacing w:after="120"/>
        <w:ind w:left="397" w:hanging="397"/>
        <w:jc w:val="both"/>
      </w:pPr>
      <w:r>
        <w:rPr>
          <w:rFonts w:ascii="Calibri" w:hAnsi="Calibri" w:eastAsia="Calibri"/>
          <w:b/>
          <w:color w:val="34322D"/>
          <w:sz w:val="21"/>
        </w:rPr>
        <w:t xml:space="preserve">12.4 No model training on Customer Content.</w:t>
      </w:r>
      <w:r>
        <w:rPr>
          <w:rFonts w:ascii="Calibri" w:hAnsi="Calibri" w:eastAsia="Calibri"/>
          <w:b w:val="false"/>
          <w:sz w:val="21"/>
        </w:rPr>
        <w:t xml:space="preserve"> The Provider does not use Customer Content to train, fine-tune or otherwise improve any third-party foundation model, and does not permit a Third-Party AI Provider to retain inputs for its own model training.</w:t>
      </w:r>
    </w:p>
    <w:p w14:paraId="00100352" w14:textId="001007B8">
      <w:pPr>
        <w:spacing w:after="120"/>
        <w:ind w:left="397" w:hanging="397"/>
        <w:jc w:val="both"/>
      </w:pPr>
      <w:r>
        <w:rPr>
          <w:rFonts w:ascii="Calibri" w:hAnsi="Calibri" w:eastAsia="Calibri"/>
          <w:b/>
          <w:color w:val="34322D"/>
          <w:sz w:val="21"/>
        </w:rPr>
        <w:t xml:space="preserve">12.5 Third-Party AI Providers.</w:t>
      </w:r>
      <w:r>
        <w:rPr>
          <w:rFonts w:ascii="Calibri" w:hAnsi="Calibri" w:eastAsia="Calibri"/>
          <w:b w:val="false"/>
          <w:sz w:val="21"/>
        </w:rPr>
        <w:t xml:space="preserve"> Only the inputs required to answer a specific request are sent to a Third-Party AI Provider, for that request only. The Customer shall not submit special category or sensitive data to an AI-Assisted Feature unless the Provider has confirmed in writing that the feature is enabled for that data.</w:t>
      </w:r>
    </w:p>
    <w:p w14:paraId="00100354" w14:textId="001007B9">
      <w:pPr>
        <w:spacing w:after="120"/>
        <w:ind w:left="397" w:hanging="397"/>
        <w:jc w:val="both"/>
      </w:pPr>
      <w:r>
        <w:rPr>
          <w:rFonts w:ascii="Calibri" w:hAnsi="Calibri" w:eastAsia="Calibri"/>
          <w:b/>
          <w:color w:val="34322D"/>
          <w:sz w:val="21"/>
        </w:rPr>
        <w:t xml:space="preserve">12.6 Allowances.</w:t>
      </w:r>
      <w:r>
        <w:rPr>
          <w:rFonts w:ascii="Calibri" w:hAnsi="Calibri" w:eastAsia="Calibri"/>
          <w:b w:val="false"/>
          <w:sz w:val="21"/>
        </w:rPr>
        <w:t xml:space="preserve"> AI-Assisted Features consume AI Actions from the shared monthly allowance recorded in the Agreement particulars. Where the Customer is on a paid subscription, additional actions are charged at the published overage rate. Where the evaluation is provided at no charge, the Provider shall notify the Customer's administrator when the allowance is close to being exhausted and shall not charge an overage unless the Order Form permits it.</w:t>
      </w:r>
    </w:p>
    <w:p w14:paraId="00100356" w14:textId="001007BA">
      <w:pPr>
        <w:spacing w:after="120"/>
        <w:ind w:left="397" w:hanging="397"/>
        <w:jc w:val="both"/>
      </w:pPr>
      <w:r>
        <w:rPr>
          <w:rFonts w:ascii="Calibri" w:hAnsi="Calibri" w:eastAsia="Calibri"/>
          <w:b/>
          <w:color w:val="34322D"/>
          <w:sz w:val="21"/>
        </w:rPr>
        <w:t xml:space="preserve">12.7 Accuracy.</w:t>
      </w:r>
      <w:r>
        <w:rPr>
          <w:rFonts w:ascii="Calibri" w:hAnsi="Calibri" w:eastAsia="Calibri"/>
          <w:b w:val="false"/>
          <w:sz w:val="21"/>
        </w:rPr>
        <w:t xml:space="preserve"> The Provider does not warrant the accuracy, completeness or suitability of AI output. AI output may misinterpret project details, omit context, or contain outdated or incorrect references. Clause 19.5 applies.</w:t>
      </w:r>
    </w:p>
    <w:p w14:paraId="00100358" w14:textId="001007BB">
      <w:pPr>
        <w:spacing w:after="120"/>
        <w:ind w:left="397" w:hanging="397"/>
        <w:jc w:val="both"/>
      </w:pPr>
      <w:r>
        <w:rPr>
          <w:rFonts w:ascii="Calibri" w:hAnsi="Calibri" w:eastAsia="Calibri"/>
          <w:b/>
          <w:color w:val="34322D"/>
          <w:sz w:val="21"/>
        </w:rPr>
        <w:t xml:space="preserve">12.8 Reporting concerns.</w:t>
      </w:r>
      <w:r>
        <w:rPr>
          <w:rFonts w:ascii="Calibri" w:hAnsi="Calibri" w:eastAsia="Calibri"/>
          <w:b w:val="false"/>
          <w:sz w:val="21"/>
        </w:rPr>
        <w:t xml:space="preserve"> The Customer may report an incorrect, unsafe or misleading AI output to info@sitesafetyuae.com. The Provider reviews such reports and uses them to improve prompts, safeguards and guidance.</w:t>
      </w:r>
    </w:p>
    <w:p w14:paraId="0010035A" w14:textId="0010035B">
      <w:pPr>
        <w:pStyle w:val="Heading1"/>
        <w:keepNext/>
        <w:keepLines/>
        <w:spacing w:before="360" w:after="160"/>
      </w:pPr>
      <w:r>
        <w:rPr>
          <w:rFonts w:ascii="Calibri" w:hAnsi="Calibri" w:eastAsia="Calibri"/>
          <w:b/>
          <w:color w:val="005A4B"/>
          <w:sz w:val="30"/>
        </w:rPr>
        <w:t xml:space="preserve">13. Customer Content and intellectual property</w:t>
      </w:r>
    </w:p>
    <w:p w14:paraId="0010035C" w14:textId="001007BC">
      <w:pPr>
        <w:spacing w:after="120"/>
        <w:ind w:left="397" w:hanging="397"/>
        <w:jc w:val="both"/>
      </w:pPr>
      <w:r>
        <w:rPr>
          <w:rFonts w:ascii="Calibri" w:hAnsi="Calibri" w:eastAsia="Calibri"/>
          <w:b/>
          <w:color w:val="34322D"/>
          <w:sz w:val="21"/>
        </w:rPr>
        <w:t xml:space="preserve">13.1 Customer ownership.</w:t>
      </w:r>
      <w:r>
        <w:rPr>
          <w:rFonts w:ascii="Calibri" w:hAnsi="Calibri" w:eastAsia="Calibri"/>
          <w:b w:val="false"/>
          <w:sz w:val="21"/>
        </w:rPr>
        <w:t xml:space="preserve"> The Customer retains all rights, title and interest in Customer Content. Nothing in this Agreement transfers ownership of Customer Content to the Provider.</w:t>
      </w:r>
    </w:p>
    <w:p w14:paraId="0010035E" w14:textId="001007BD">
      <w:pPr>
        <w:spacing w:after="120"/>
        <w:ind w:left="397" w:hanging="397"/>
        <w:jc w:val="both"/>
      </w:pPr>
      <w:r>
        <w:rPr>
          <w:rFonts w:ascii="Calibri" w:hAnsi="Calibri" w:eastAsia="Calibri"/>
          <w:b/>
          <w:color w:val="34322D"/>
          <w:sz w:val="21"/>
        </w:rPr>
        <w:t xml:space="preserve">13.2 Licence to the Provider.</w:t>
      </w:r>
      <w:r>
        <w:rPr>
          <w:rFonts w:ascii="Calibri" w:hAnsi="Calibri" w:eastAsia="Calibri"/>
          <w:b w:val="false"/>
          <w:sz w:val="21"/>
        </w:rPr>
        <w:t xml:space="preserve"> The Customer grants the Provider a limited, non-exclusive, worldwide, royalty-free licence to host, store, process, transmit, display, back up and otherwise use Customer Content solely to provide, secure, support and improve the Service, and to comply with law. The licence ends when the Customer Content is deleted in accordance with clause 11.6, except for copies in backups that expire on their own cycle.</w:t>
      </w:r>
    </w:p>
    <w:p w14:paraId="00100360" w14:textId="001007BE">
      <w:pPr>
        <w:spacing w:after="120"/>
        <w:ind w:left="397" w:hanging="397"/>
        <w:jc w:val="both"/>
      </w:pPr>
      <w:r>
        <w:rPr>
          <w:rFonts w:ascii="Calibri" w:hAnsi="Calibri" w:eastAsia="Calibri"/>
          <w:b/>
          <w:color w:val="34322D"/>
          <w:sz w:val="21"/>
        </w:rPr>
        <w:t xml:space="preserve">13.3 Provider intellectual property.</w:t>
      </w:r>
      <w:r>
        <w:rPr>
          <w:rFonts w:ascii="Calibri" w:hAnsi="Calibri" w:eastAsia="Calibri"/>
          <w:b w:val="false"/>
          <w:sz w:val="21"/>
        </w:rPr>
        <w:t xml:space="preserve"> The Provider and its licensors retain all rights in the Service, including the software, architecture, data models, templates, authority report layouts, documentation, AI prompts and any improvement or derivative of them. No rights are granted except as expressly set out in this Agreement.</w:t>
      </w:r>
    </w:p>
    <w:p w14:paraId="00100362" w14:textId="001007BF">
      <w:pPr>
        <w:spacing w:after="120"/>
        <w:ind w:left="397" w:hanging="397"/>
        <w:jc w:val="both"/>
      </w:pPr>
      <w:r>
        <w:rPr>
          <w:rFonts w:ascii="Calibri" w:hAnsi="Calibri" w:eastAsia="Calibri"/>
          <w:b/>
          <w:color w:val="34322D"/>
          <w:sz w:val="21"/>
        </w:rPr>
        <w:t xml:space="preserve">13.4 Feedback.</w:t>
      </w:r>
      <w:r>
        <w:rPr>
          <w:rFonts w:ascii="Calibri" w:hAnsi="Calibri" w:eastAsia="Calibri"/>
          <w:b w:val="false"/>
          <w:sz w:val="21"/>
        </w:rPr>
        <w:t xml:space="preserve"> The Customer grants the Provider a perpetual, royalty-free licence to use any feedback, suggestion or idea it provides about the Service, provided that the Provider does not identify the Customer as the source without its consent.</w:t>
      </w:r>
    </w:p>
    <w:p w14:paraId="00100364" w14:textId="001007C0">
      <w:pPr>
        <w:spacing w:after="120"/>
        <w:ind w:left="397" w:hanging="397"/>
        <w:jc w:val="both"/>
      </w:pPr>
      <w:r>
        <w:rPr>
          <w:rFonts w:ascii="Calibri" w:hAnsi="Calibri" w:eastAsia="Calibri"/>
          <w:b/>
          <w:color w:val="34322D"/>
          <w:sz w:val="21"/>
        </w:rPr>
        <w:t xml:space="preserve">13.5 Aggregated data.</w:t>
      </w:r>
      <w:r>
        <w:rPr>
          <w:rFonts w:ascii="Calibri" w:hAnsi="Calibri" w:eastAsia="Calibri"/>
          <w:b w:val="false"/>
          <w:sz w:val="21"/>
        </w:rPr>
        <w:t xml:space="preserve"> The Provider may create aggregated and de-identified statistics about the use and performance of the Service, provided that the statistics do not identify the Customer, its Users, its sites or any individual, and are not used to re-identify any person.</w:t>
      </w:r>
    </w:p>
    <w:p w14:paraId="00100366" w14:textId="001007C1">
      <w:pPr>
        <w:spacing w:after="120"/>
        <w:ind w:left="397" w:hanging="397"/>
        <w:jc w:val="both"/>
      </w:pPr>
      <w:r>
        <w:rPr>
          <w:rFonts w:ascii="Calibri" w:hAnsi="Calibri" w:eastAsia="Calibri"/>
          <w:b/>
          <w:color w:val="34322D"/>
          <w:sz w:val="21"/>
        </w:rPr>
        <w:t xml:space="preserve">13.6 Templates and authority content.</w:t>
      </w:r>
      <w:r>
        <w:rPr>
          <w:rFonts w:ascii="Calibri" w:hAnsi="Calibri" w:eastAsia="Calibri"/>
          <w:b w:val="false"/>
          <w:sz w:val="21"/>
        </w:rPr>
        <w:t xml:space="preserve"> The templates, checklists and authority report layouts supplied with the Service are provided as drafting aids. The Customer is responsible for confirming that any document it submits to an authority meets that authority's current requirements.</w:t>
      </w:r>
    </w:p>
    <w:p w14:paraId="00100368" w14:textId="00100369">
      <w:pPr>
        <w:pStyle w:val="Heading1"/>
        <w:keepNext/>
        <w:keepLines/>
        <w:spacing w:before="360" w:after="160"/>
      </w:pPr>
      <w:r>
        <w:rPr>
          <w:rFonts w:ascii="Calibri" w:hAnsi="Calibri" w:eastAsia="Calibri"/>
          <w:b/>
          <w:color w:val="005A4B"/>
          <w:sz w:val="30"/>
        </w:rPr>
        <w:t xml:space="preserve">14. Confidentiality</w:t>
      </w:r>
    </w:p>
    <w:p w14:paraId="0010036A" w14:textId="001007C2">
      <w:pPr>
        <w:spacing w:after="120"/>
        <w:ind w:left="397" w:hanging="397"/>
        <w:jc w:val="both"/>
      </w:pPr>
      <w:r>
        <w:rPr>
          <w:rFonts w:ascii="Calibri" w:hAnsi="Calibri" w:eastAsia="Calibri"/>
          <w:b/>
          <w:color w:val="34322D"/>
          <w:sz w:val="21"/>
        </w:rPr>
        <w:t xml:space="preserve">14.1 Mutual Non-Disclosure Agreement.</w:t>
      </w:r>
      <w:r>
        <w:rPr>
          <w:rFonts w:ascii="Calibri" w:hAnsi="Calibri" w:eastAsia="Calibri"/>
          <w:b w:val="false"/>
          <w:sz w:val="21"/>
        </w:rPr>
        <w:t xml:space="preserve"> Where the Parties have signed a Mutual Non-Disclosure Agreement, it governs the exchange of Confidential Information in connection with this Agreement and prevails over this clause 14.</w:t>
      </w:r>
    </w:p>
    <w:p w14:paraId="0010036C" w14:textId="001007C3">
      <w:pPr>
        <w:spacing w:after="120"/>
        <w:ind w:left="397" w:hanging="397"/>
        <w:jc w:val="both"/>
      </w:pPr>
      <w:r>
        <w:rPr>
          <w:rFonts w:ascii="Calibri" w:hAnsi="Calibri" w:eastAsia="Calibri"/>
          <w:b/>
          <w:color w:val="34322D"/>
          <w:sz w:val="21"/>
        </w:rPr>
        <w:t xml:space="preserve">14.2 Fallback confidentiality terms.</w:t>
      </w:r>
      <w:r>
        <w:rPr>
          <w:rFonts w:ascii="Calibri" w:hAnsi="Calibri" w:eastAsia="Calibri"/>
          <w:b w:val="false"/>
          <w:sz w:val="21"/>
        </w:rPr>
        <w:t xml:space="preserve"> Where no Mutual Non-Disclosure Agreement is in force, each Party shall keep confidential all information disclosed by the other Party in connection with this Agreement that is identified as confidential or that a reasonable person would understand to be confidential from its nature or the circumstances of disclosure, shall use it only for the purposes of this Agreement, and shall not disclose it except to its personnel and professional advisers who need to know it and are bound by equivalent obligations. These obligations do not apply to information that is or becomes public other than through a breach, was lawfully held before disclosure, is lawfully obtained from a third party, or is independently developed. They continue for three (3) years after disclosure, and for so long as information remains a trade secret.</w:t>
      </w:r>
    </w:p>
    <w:p w14:paraId="0010036E" w14:textId="001007C4">
      <w:pPr>
        <w:spacing w:after="120"/>
        <w:ind w:left="397" w:hanging="397"/>
        <w:jc w:val="both"/>
      </w:pPr>
      <w:r>
        <w:rPr>
          <w:rFonts w:ascii="Calibri" w:hAnsi="Calibri" w:eastAsia="Calibri"/>
          <w:b/>
          <w:color w:val="34322D"/>
          <w:sz w:val="21"/>
        </w:rPr>
        <w:t xml:space="preserve">14.3 Compelled disclosure.</w:t>
      </w:r>
      <w:r>
        <w:rPr>
          <w:rFonts w:ascii="Calibri" w:hAnsi="Calibri" w:eastAsia="Calibri"/>
          <w:b w:val="false"/>
          <w:sz w:val="21"/>
        </w:rPr>
        <w:t xml:space="preserve"> A Party may disclose Confidential Information to the extent required by law, regulation or a competent authority, provided that it gives the other Party prompt notice where lawfully able to do so and discloses only the minimum required.</w:t>
      </w:r>
    </w:p>
    <w:p w14:paraId="00100370" w14:textId="001007C5">
      <w:pPr>
        <w:spacing w:after="120"/>
        <w:ind w:left="397" w:hanging="397"/>
        <w:jc w:val="both"/>
      </w:pPr>
      <w:r>
        <w:rPr>
          <w:rFonts w:ascii="Calibri" w:hAnsi="Calibri" w:eastAsia="Calibri"/>
          <w:b/>
          <w:color w:val="34322D"/>
          <w:sz w:val="21"/>
        </w:rPr>
        <w:t xml:space="preserve">14.4 Publicity.</w:t>
      </w:r>
      <w:r>
        <w:rPr>
          <w:rFonts w:ascii="Calibri" w:hAnsi="Calibri" w:eastAsia="Calibri"/>
          <w:b w:val="false"/>
          <w:sz w:val="21"/>
        </w:rPr>
        <w:t xml:space="preserve"> Neither Party shall issue a press release, public statement, customer reference, case study or logo use referring to the other Party or to the evaluation without the other Party's prior written consent, except where disclosure is required by law.</w:t>
      </w:r>
    </w:p>
    <w:p w14:paraId="00100372" w14:textId="00100373">
      <w:pPr>
        <w:pStyle w:val="Heading1"/>
        <w:keepNext/>
        <w:keepLines/>
        <w:spacing w:before="360" w:after="160"/>
      </w:pPr>
      <w:r>
        <w:rPr>
          <w:rFonts w:ascii="Calibri" w:hAnsi="Calibri" w:eastAsia="Calibri"/>
          <w:b/>
          <w:color w:val="005A4B"/>
          <w:sz w:val="30"/>
        </w:rPr>
        <w:t xml:space="preserve">15. Service changes and roadmap</w:t>
      </w:r>
    </w:p>
    <w:p w14:paraId="00100374" w14:textId="001007C6">
      <w:pPr>
        <w:spacing w:after="120"/>
        <w:ind w:left="397" w:hanging="397"/>
        <w:jc w:val="both"/>
      </w:pPr>
      <w:r>
        <w:rPr>
          <w:rFonts w:ascii="Calibri" w:hAnsi="Calibri" w:eastAsia="Calibri"/>
          <w:b/>
          <w:color w:val="34322D"/>
          <w:sz w:val="21"/>
        </w:rPr>
        <w:t xml:space="preserve">15.1 Changes to the Service.</w:t>
      </w:r>
      <w:r>
        <w:rPr>
          <w:rFonts w:ascii="Calibri" w:hAnsi="Calibri" w:eastAsia="Calibri"/>
          <w:b w:val="false"/>
          <w:sz w:val="21"/>
        </w:rPr>
        <w:t xml:space="preserve"> The Provider may update, improve or modify the Service. The Provider shall not, during the Evaluation Period, materially reduce the core functionality of the modules recorded in Schedule A without the Customer's written agreement.</w:t>
      </w:r>
    </w:p>
    <w:p w14:paraId="00100376" w14:textId="001007C7">
      <w:pPr>
        <w:spacing w:after="120"/>
        <w:ind w:left="397" w:hanging="397"/>
        <w:jc w:val="both"/>
      </w:pPr>
      <w:r>
        <w:rPr>
          <w:rFonts w:ascii="Calibri" w:hAnsi="Calibri" w:eastAsia="Calibri"/>
          <w:b/>
          <w:color w:val="34322D"/>
          <w:sz w:val="21"/>
        </w:rPr>
        <w:t xml:space="preserve">15.2 Deprecation.</w:t>
      </w:r>
      <w:r>
        <w:rPr>
          <w:rFonts w:ascii="Calibri" w:hAnsi="Calibri" w:eastAsia="Calibri"/>
          <w:b w:val="false"/>
          <w:sz w:val="21"/>
        </w:rPr>
        <w:t xml:space="preserve"> The Provider shall give the Customer at least ninety (90) days' written notice before discontinuing a material feature that the Customer is actively using, unless the discontinuation is required by law, by a third-party provider, or to address a security risk, in which case the Provider shall give as much notice as is reasonably practicable.</w:t>
      </w:r>
    </w:p>
    <w:p w14:paraId="00100378" w14:textId="001007C8">
      <w:pPr>
        <w:spacing w:after="120"/>
        <w:ind w:left="397" w:hanging="397"/>
        <w:jc w:val="both"/>
      </w:pPr>
      <w:r>
        <w:rPr>
          <w:rFonts w:ascii="Calibri" w:hAnsi="Calibri" w:eastAsia="Calibri"/>
          <w:b/>
          <w:color w:val="34322D"/>
          <w:sz w:val="21"/>
        </w:rPr>
        <w:t xml:space="preserve">15.3 Preview and beta features.</w:t>
      </w:r>
      <w:r>
        <w:rPr>
          <w:rFonts w:ascii="Calibri" w:hAnsi="Calibri" w:eastAsia="Calibri"/>
          <w:b w:val="false"/>
          <w:sz w:val="21"/>
        </w:rPr>
        <w:t xml:space="preserve"> Preview, beta and early-access features are provided as-is, may be withdrawn or changed at any time, and are excluded from the Availability target in clause 7.1 and from the support targets in Schedule C unless the Provider states otherwise in writing.</w:t>
      </w:r>
    </w:p>
    <w:p w14:paraId="0010037A" w14:textId="001007C9">
      <w:pPr>
        <w:spacing w:after="120"/>
        <w:ind w:left="397" w:hanging="397"/>
        <w:jc w:val="both"/>
      </w:pPr>
      <w:r>
        <w:rPr>
          <w:rFonts w:ascii="Calibri" w:hAnsi="Calibri" w:eastAsia="Calibri"/>
          <w:b/>
          <w:color w:val="34322D"/>
          <w:sz w:val="21"/>
        </w:rPr>
        <w:t xml:space="preserve">15.4 Third-party services.</w:t>
      </w:r>
      <w:r>
        <w:rPr>
          <w:rFonts w:ascii="Calibri" w:hAnsi="Calibri" w:eastAsia="Calibri"/>
          <w:b w:val="false"/>
          <w:sz w:val="21"/>
        </w:rPr>
        <w:t xml:space="preserve"> The Service relies on third-party providers for hosting, database, authentication, storage, email delivery, payment processing and AI inference. The Provider is responsible for the selection of those providers and for the performance of its obligations under this Agreement, and shall not be relieved of liability by a failure of a third-party provider that it has selected.</w:t>
      </w:r>
    </w:p>
    <w:p w14:paraId="0010037C" w14:textId="0010037D">
      <w:pPr>
        <w:pStyle w:val="Heading1"/>
        <w:keepNext/>
        <w:keepLines/>
        <w:spacing w:before="360" w:after="160"/>
      </w:pPr>
      <w:r>
        <w:rPr>
          <w:rFonts w:ascii="Calibri" w:hAnsi="Calibri" w:eastAsia="Calibri"/>
          <w:b/>
          <w:color w:val="005A4B"/>
          <w:sz w:val="30"/>
        </w:rPr>
        <w:t xml:space="preserve">16. Suspension</w:t>
      </w:r>
    </w:p>
    <w:p w14:paraId="0010037E" w14:textId="001007CA">
      <w:pPr>
        <w:spacing w:after="120"/>
        <w:ind w:left="397" w:hanging="397"/>
        <w:jc w:val="both"/>
      </w:pPr>
      <w:r>
        <w:rPr>
          <w:rFonts w:ascii="Calibri" w:hAnsi="Calibri" w:eastAsia="Calibri"/>
          <w:b/>
          <w:color w:val="34322D"/>
          <w:sz w:val="21"/>
        </w:rPr>
        <w:t xml:space="preserve">16.1 Grounds for suspension.</w:t>
      </w:r>
      <w:r>
        <w:rPr>
          <w:rFonts w:ascii="Calibri" w:hAnsi="Calibri" w:eastAsia="Calibri"/>
          <w:b w:val="false"/>
          <w:sz w:val="21"/>
        </w:rPr>
        <w:t xml:space="preserve"> The Provider may suspend access to the Evaluation Workspace, in whole or in part, where: (a) the Customer is in material breach of clause 3.4 or of the acceptable use policy and has not remedied the breach within five (5) Business Days of written notice; (b) suspension is necessary to prevent or address a security incident, to protect the integrity of the Service or the data of other customers; or (c) suspension is required by law or by a competent authority.</w:t>
      </w:r>
    </w:p>
    <w:p w14:paraId="00100380" w14:textId="001007CB">
      <w:pPr>
        <w:spacing w:after="120"/>
        <w:ind w:left="397" w:hanging="397"/>
        <w:jc w:val="both"/>
      </w:pPr>
      <w:r>
        <w:rPr>
          <w:rFonts w:ascii="Calibri" w:hAnsi="Calibri" w:eastAsia="Calibri"/>
          <w:b/>
          <w:color w:val="34322D"/>
          <w:sz w:val="21"/>
        </w:rPr>
        <w:t xml:space="preserve">16.2 Notice and proportionality.</w:t>
      </w:r>
      <w:r>
        <w:rPr>
          <w:rFonts w:ascii="Calibri" w:hAnsi="Calibri" w:eastAsia="Calibri"/>
          <w:b w:val="false"/>
          <w:sz w:val="21"/>
        </w:rPr>
        <w:t xml:space="preserve"> Where practicable, the Provider shall give the Customer's administrator notice before suspending access, and shall limit the suspension to what is necessary to address the ground for it. The Provider shall restore access promptly once the ground is resolved.</w:t>
      </w:r>
    </w:p>
    <w:p w14:paraId="00100382" w14:textId="001007CC">
      <w:pPr>
        <w:spacing w:after="120"/>
        <w:ind w:left="397" w:hanging="397"/>
        <w:jc w:val="both"/>
      </w:pPr>
      <w:r>
        <w:rPr>
          <w:rFonts w:ascii="Calibri" w:hAnsi="Calibri" w:eastAsia="Calibri"/>
          <w:b/>
          <w:color w:val="34322D"/>
          <w:sz w:val="21"/>
        </w:rPr>
        <w:t xml:space="preserve">16.3 Suspension and service levels.</w:t>
      </w:r>
      <w:r>
        <w:rPr>
          <w:rFonts w:ascii="Calibri" w:hAnsi="Calibri" w:eastAsia="Calibri"/>
          <w:b w:val="false"/>
          <w:sz w:val="21"/>
        </w:rPr>
        <w:t xml:space="preserve"> Downtime caused by a suspension under clause 16.1(a) is Excluded Downtime. Downtime caused by a suspension under clause 16.1(b) or 16.1(c) is Excluded Downtime only where the Provider acted reasonably and the suspension was not caused by the Provider's own failure.</w:t>
      </w:r>
    </w:p>
    <w:p w14:paraId="00100384" w14:textId="001007CD">
      <w:pPr>
        <w:spacing w:after="120"/>
        <w:ind w:left="397" w:hanging="397"/>
        <w:jc w:val="both"/>
      </w:pPr>
      <w:r>
        <w:rPr>
          <w:rFonts w:ascii="Calibri" w:hAnsi="Calibri" w:eastAsia="Calibri"/>
          <w:b/>
          <w:color w:val="34322D"/>
          <w:sz w:val="21"/>
        </w:rPr>
        <w:t xml:space="preserve">16.4 Extension for wrongful suspension.</w:t>
      </w:r>
      <w:r>
        <w:rPr>
          <w:rFonts w:ascii="Calibri" w:hAnsi="Calibri" w:eastAsia="Calibri"/>
          <w:b w:val="false"/>
          <w:sz w:val="21"/>
        </w:rPr>
        <w:t xml:space="preserve"> Where access is suspended under clause 16.1(b) or 16.1(c) for more than five (5) consecutive Business Days and the suspension was not caused by the Customer, the Evaluation Period is extended by the period of the suspension at no charge.</w:t>
      </w:r>
    </w:p>
    <w:p w14:paraId="00100386" w14:textId="00100387">
      <w:pPr>
        <w:pStyle w:val="Heading1"/>
        <w:keepNext/>
        <w:keepLines/>
        <w:spacing w:before="360" w:after="160"/>
      </w:pPr>
      <w:r>
        <w:rPr>
          <w:rFonts w:ascii="Calibri" w:hAnsi="Calibri" w:eastAsia="Calibri"/>
          <w:b/>
          <w:color w:val="005A4B"/>
          <w:sz w:val="30"/>
        </w:rPr>
        <w:t xml:space="preserve">17. Term and termination</w:t>
      </w:r>
    </w:p>
    <w:p w14:paraId="00100388" w14:textId="001007CE">
      <w:pPr>
        <w:spacing w:after="120"/>
        <w:ind w:left="397" w:hanging="397"/>
        <w:jc w:val="both"/>
      </w:pPr>
      <w:r>
        <w:rPr>
          <w:rFonts w:ascii="Calibri" w:hAnsi="Calibri" w:eastAsia="Calibri"/>
          <w:b/>
          <w:color w:val="34322D"/>
          <w:sz w:val="21"/>
        </w:rPr>
        <w:t xml:space="preserve">17.1 Term.</w:t>
      </w:r>
      <w:r>
        <w:rPr>
          <w:rFonts w:ascii="Calibri" w:hAnsi="Calibri" w:eastAsia="Calibri"/>
          <w:b w:val="false"/>
          <w:sz w:val="21"/>
        </w:rPr>
        <w:t xml:space="preserve"> This Agreement begins on the Effective Date and continues until the end of the Evaluation Period, unless terminated earlier under this clause 17 or extended under clause 5.2.</w:t>
      </w:r>
    </w:p>
    <w:p w14:paraId="0010038A" w14:textId="001007CF">
      <w:pPr>
        <w:spacing w:after="120"/>
        <w:ind w:left="397" w:hanging="397"/>
        <w:jc w:val="both"/>
      </w:pPr>
      <w:r>
        <w:rPr>
          <w:rFonts w:ascii="Calibri" w:hAnsi="Calibri" w:eastAsia="Calibri"/>
          <w:b/>
          <w:color w:val="34322D"/>
          <w:sz w:val="21"/>
        </w:rPr>
        <w:t xml:space="preserve">17.2 Termination for convenience.</w:t>
      </w:r>
      <w:r>
        <w:rPr>
          <w:rFonts w:ascii="Calibri" w:hAnsi="Calibri" w:eastAsia="Calibri"/>
          <w:b w:val="false"/>
          <w:sz w:val="21"/>
        </w:rPr>
        <w:t xml:space="preserve"> Either Party may terminate this Agreement at any time on ten (10) Business Days' written notice, without charge and without liability for the termination itself.</w:t>
      </w:r>
    </w:p>
    <w:p w14:paraId="0010038C" w14:textId="001007D0">
      <w:pPr>
        <w:spacing w:after="120"/>
        <w:ind w:left="397" w:hanging="397"/>
        <w:jc w:val="both"/>
      </w:pPr>
      <w:r>
        <w:rPr>
          <w:rFonts w:ascii="Calibri" w:hAnsi="Calibri" w:eastAsia="Calibri"/>
          <w:b/>
          <w:color w:val="34322D"/>
          <w:sz w:val="21"/>
        </w:rPr>
        <w:t xml:space="preserve">17.3 Termination for cause.</w:t>
      </w:r>
      <w:r>
        <w:rPr>
          <w:rFonts w:ascii="Calibri" w:hAnsi="Calibri" w:eastAsia="Calibri"/>
          <w:b w:val="false"/>
          <w:sz w:val="21"/>
        </w:rPr>
        <w:t xml:space="preserve"> Either Party may terminate this Agreement immediately on written notice where the other Party: (a) commits a material breach that is not capable of remedy; or (b) commits a material breach that is capable of remedy and fails to remedy it within fifteen (15) Business Days after written notice describing the breach.</w:t>
      </w:r>
    </w:p>
    <w:p w14:paraId="0010038E" w14:textId="001007D1">
      <w:pPr>
        <w:spacing w:after="120"/>
        <w:ind w:left="397" w:hanging="397"/>
        <w:jc w:val="both"/>
      </w:pPr>
      <w:r>
        <w:rPr>
          <w:rFonts w:ascii="Calibri" w:hAnsi="Calibri" w:eastAsia="Calibri"/>
          <w:b/>
          <w:color w:val="34322D"/>
          <w:sz w:val="21"/>
        </w:rPr>
        <w:t xml:space="preserve">17.4 Insolvency.</w:t>
      </w:r>
      <w:r>
        <w:rPr>
          <w:rFonts w:ascii="Calibri" w:hAnsi="Calibri" w:eastAsia="Calibri"/>
          <w:b w:val="false"/>
          <w:sz w:val="21"/>
        </w:rPr>
        <w:t xml:space="preserve"> Either Party may terminate this Agreement immediately on written notice where the other Party becomes insolvent, enters administration, liquidation or receivership, makes a general arrangement with its creditors, or ceases to carry on business.</w:t>
      </w:r>
    </w:p>
    <w:p w14:paraId="00100390" w14:textId="001007D2">
      <w:pPr>
        <w:spacing w:after="120"/>
        <w:ind w:left="397" w:hanging="397"/>
        <w:jc w:val="both"/>
      </w:pPr>
      <w:r>
        <w:rPr>
          <w:rFonts w:ascii="Calibri" w:hAnsi="Calibri" w:eastAsia="Calibri"/>
          <w:b/>
          <w:color w:val="34322D"/>
          <w:sz w:val="21"/>
        </w:rPr>
        <w:t xml:space="preserve">17.5 Effect on other agreements.</w:t>
      </w:r>
      <w:r>
        <w:rPr>
          <w:rFonts w:ascii="Calibri" w:hAnsi="Calibri" w:eastAsia="Calibri"/>
          <w:b w:val="false"/>
          <w:sz w:val="21"/>
        </w:rPr>
        <w:t xml:space="preserve"> Termination of this Agreement does not terminate the Mutual Non-Disclosure Agreement, the Data Processing Agreement (to the extent it governs Personal Data still held by the Provider) or any Order Form for a subscription that has already begun.</w:t>
      </w:r>
    </w:p>
    <w:p w14:paraId="00100392" w14:textId="00100393">
      <w:pPr>
        <w:pStyle w:val="Heading1"/>
        <w:keepNext/>
        <w:keepLines/>
        <w:spacing w:before="360" w:after="160"/>
      </w:pPr>
      <w:r>
        <w:rPr>
          <w:rFonts w:ascii="Calibri" w:hAnsi="Calibri" w:eastAsia="Calibri"/>
          <w:b/>
          <w:color w:val="005A4B"/>
          <w:sz w:val="30"/>
        </w:rPr>
        <w:t xml:space="preserve">18. Consequences of termination</w:t>
      </w:r>
    </w:p>
    <w:p w14:paraId="00100394" w14:textId="001007D3">
      <w:pPr>
        <w:spacing w:after="120"/>
        <w:ind w:left="397" w:hanging="397"/>
        <w:jc w:val="both"/>
      </w:pPr>
      <w:r>
        <w:rPr>
          <w:rFonts w:ascii="Calibri" w:hAnsi="Calibri" w:eastAsia="Calibri"/>
          <w:b/>
          <w:color w:val="34322D"/>
          <w:sz w:val="21"/>
        </w:rPr>
        <w:t xml:space="preserve">18.1 Cessation of access.</w:t>
      </w:r>
      <w:r>
        <w:rPr>
          <w:rFonts w:ascii="Calibri" w:hAnsi="Calibri" w:eastAsia="Calibri"/>
          <w:b w:val="false"/>
          <w:sz w:val="21"/>
        </w:rPr>
        <w:t xml:space="preserve"> On termination or expiry, the Customer's and its Users' right to access the Evaluation Workspace ends. The Provider shall disable access promptly, without prejudice to the Customer's rights under this clause 18.</w:t>
      </w:r>
    </w:p>
    <w:p w14:paraId="00100396" w14:textId="001007D4">
      <w:pPr>
        <w:spacing w:after="120"/>
        <w:ind w:left="397" w:hanging="397"/>
        <w:jc w:val="both"/>
      </w:pPr>
      <w:r>
        <w:rPr>
          <w:rFonts w:ascii="Calibri" w:hAnsi="Calibri" w:eastAsia="Calibri"/>
          <w:b/>
          <w:color w:val="34322D"/>
          <w:sz w:val="21"/>
        </w:rPr>
        <w:t xml:space="preserve">18.2 Export window.</w:t>
      </w:r>
      <w:r>
        <w:rPr>
          <w:rFonts w:ascii="Calibri" w:hAnsi="Calibri" w:eastAsia="Calibri"/>
          <w:b w:val="false"/>
          <w:sz w:val="21"/>
        </w:rPr>
        <w:t xml:space="preserve"> For thirty (30) days after termination or expiry, the Provider shall make available to the Customer an export of Customer Content in a structured, commonly used and machine-readable format, together with the PDF exports the Customer has generated. The Customer should export any content it wishes to retain during this window, and is responsible for doing so.</w:t>
      </w:r>
    </w:p>
    <w:p w14:paraId="00100398" w14:textId="001007D5">
      <w:pPr>
        <w:spacing w:after="120"/>
        <w:ind w:left="397" w:hanging="397"/>
        <w:jc w:val="both"/>
      </w:pPr>
      <w:r>
        <w:rPr>
          <w:rFonts w:ascii="Calibri" w:hAnsi="Calibri" w:eastAsia="Calibri"/>
          <w:b/>
          <w:color w:val="34322D"/>
          <w:sz w:val="21"/>
        </w:rPr>
        <w:t xml:space="preserve">18.3 Deletion.</w:t>
      </w:r>
      <w:r>
        <w:rPr>
          <w:rFonts w:ascii="Calibri" w:hAnsi="Calibri" w:eastAsia="Calibri"/>
          <w:b w:val="false"/>
          <w:sz w:val="21"/>
        </w:rPr>
        <w:t xml:space="preserve"> After the export window, the Provider shall delete or anonymise Customer Content and storage objects within thirty (30) days, excluding copies in backups, which expire on their own retention cycle of up to a further thirty (30) days. The Provider shall provide written confirmation of deletion on request.</w:t>
      </w:r>
    </w:p>
    <w:p w14:paraId="0010039A" w14:textId="001007D6">
      <w:pPr>
        <w:spacing w:after="120"/>
        <w:ind w:left="397" w:hanging="397"/>
        <w:jc w:val="both"/>
      </w:pPr>
      <w:r>
        <w:rPr>
          <w:rFonts w:ascii="Calibri" w:hAnsi="Calibri" w:eastAsia="Calibri"/>
          <w:b/>
          <w:color w:val="34322D"/>
          <w:sz w:val="21"/>
        </w:rPr>
        <w:t xml:space="preserve">18.4 Return of Confidential Information.</w:t>
      </w:r>
      <w:r>
        <w:rPr>
          <w:rFonts w:ascii="Calibri" w:hAnsi="Calibri" w:eastAsia="Calibri"/>
          <w:b w:val="false"/>
          <w:sz w:val="21"/>
        </w:rPr>
        <w:t xml:space="preserve"> Each Party shall return or destroy the other Party's Confidential Information in accordance with the Mutual Non-Disclosure Agreement, or, if none is in force, in accordance with clause 14.2, subject to any retention required by law.</w:t>
      </w:r>
    </w:p>
    <w:p w14:paraId="0010039C" w14:textId="001007D7">
      <w:pPr>
        <w:spacing w:after="120"/>
        <w:ind w:left="397" w:hanging="397"/>
        <w:jc w:val="both"/>
      </w:pPr>
      <w:r>
        <w:rPr>
          <w:rFonts w:ascii="Calibri" w:hAnsi="Calibri" w:eastAsia="Calibri"/>
          <w:b/>
          <w:color w:val="34322D"/>
          <w:sz w:val="21"/>
        </w:rPr>
        <w:t xml:space="preserve">18.5 Survival.</w:t>
      </w:r>
      <w:r>
        <w:rPr>
          <w:rFonts w:ascii="Calibri" w:hAnsi="Calibri" w:eastAsia="Calibri"/>
          <w:b w:val="false"/>
          <w:sz w:val="21"/>
        </w:rPr>
        <w:t xml:space="preserve"> Clauses 11, 13, 14, 18, 19, 20, 21, 25 and 26 survive termination or expiry, together with any other provision that by its nature is intended to survive.</w:t>
      </w:r>
    </w:p>
    <w:p w14:paraId="0010039E" w14:textId="001007D8">
      <w:pPr>
        <w:spacing w:after="120"/>
        <w:ind w:left="397" w:hanging="397"/>
        <w:jc w:val="both"/>
      </w:pPr>
      <w:r>
        <w:rPr>
          <w:rFonts w:ascii="Calibri" w:hAnsi="Calibri" w:eastAsia="Calibri"/>
          <w:b/>
          <w:color w:val="34322D"/>
          <w:sz w:val="21"/>
        </w:rPr>
        <w:t xml:space="preserve">18.6 Accrued rights.</w:t>
      </w:r>
      <w:r>
        <w:rPr>
          <w:rFonts w:ascii="Calibri" w:hAnsi="Calibri" w:eastAsia="Calibri"/>
          <w:b w:val="false"/>
          <w:sz w:val="21"/>
        </w:rPr>
        <w:t xml:space="preserve"> Termination or expiry does not affect any right or remedy that has already accrued, or the right to claim damages for a breach that occurred before termination.</w:t>
      </w:r>
    </w:p>
    <w:p w14:paraId="001003A0" w14:textId="001003A1">
      <w:pPr>
        <w:pStyle w:val="Heading1"/>
        <w:keepNext/>
        <w:keepLines/>
        <w:spacing w:before="360" w:after="160"/>
      </w:pPr>
      <w:r>
        <w:rPr>
          <w:rFonts w:ascii="Calibri" w:hAnsi="Calibri" w:eastAsia="Calibri"/>
          <w:b/>
          <w:color w:val="005A4B"/>
          <w:sz w:val="30"/>
        </w:rPr>
        <w:t xml:space="preserve">19. Warranties and disclaimers</w:t>
      </w:r>
    </w:p>
    <w:p w14:paraId="001003A2" w14:textId="001007D9">
      <w:pPr>
        <w:spacing w:after="120"/>
        <w:ind w:left="397" w:hanging="397"/>
        <w:jc w:val="both"/>
      </w:pPr>
      <w:r>
        <w:rPr>
          <w:rFonts w:ascii="Calibri" w:hAnsi="Calibri" w:eastAsia="Calibri"/>
          <w:b/>
          <w:color w:val="34322D"/>
          <w:sz w:val="21"/>
        </w:rPr>
        <w:t xml:space="preserve">19.1 Mutual warranties.</w:t>
      </w:r>
      <w:r>
        <w:rPr>
          <w:rFonts w:ascii="Calibri" w:hAnsi="Calibri" w:eastAsia="Calibri"/>
          <w:b w:val="false"/>
          <w:sz w:val="21"/>
        </w:rPr>
        <w:t xml:space="preserve"> Each Party warrants that: (a) it has the legal capacity and authority to enter into and perform this Agreement; (b) the person signing on its behalf is duly authorised; and (c) entering into this Agreement does not breach any other agreement or obligation binding on it.</w:t>
      </w:r>
    </w:p>
    <w:p w14:paraId="001003A4" w14:textId="001007DA">
      <w:pPr>
        <w:spacing w:after="120"/>
        <w:ind w:left="397" w:hanging="397"/>
        <w:jc w:val="both"/>
      </w:pPr>
      <w:r>
        <w:rPr>
          <w:rFonts w:ascii="Calibri" w:hAnsi="Calibri" w:eastAsia="Calibri"/>
          <w:b/>
          <w:color w:val="34322D"/>
          <w:sz w:val="21"/>
        </w:rPr>
        <w:t xml:space="preserve">19.2 Service warranty.</w:t>
      </w:r>
      <w:r>
        <w:rPr>
          <w:rFonts w:ascii="Calibri" w:hAnsi="Calibri" w:eastAsia="Calibri"/>
          <w:b w:val="false"/>
          <w:sz w:val="21"/>
        </w:rPr>
        <w:t xml:space="preserve"> The Provider warrants that it shall provide the Service with reasonable skill and care, substantially in accordance with the documentation and the service levels in Schedule B and Schedule C, and that it shall maintain the security controls in Schedule D.</w:t>
      </w:r>
    </w:p>
    <w:p w14:paraId="001003A6" w14:textId="001007DB">
      <w:pPr>
        <w:spacing w:after="120"/>
        <w:ind w:left="397" w:hanging="397"/>
        <w:jc w:val="both"/>
      </w:pPr>
      <w:r>
        <w:rPr>
          <w:rFonts w:ascii="Calibri" w:hAnsi="Calibri" w:eastAsia="Calibri"/>
          <w:b/>
          <w:color w:val="34322D"/>
          <w:sz w:val="21"/>
        </w:rPr>
        <w:t xml:space="preserve">19.3 Evaluation disclaimer.</w:t>
      </w:r>
      <w:r>
        <w:rPr>
          <w:rFonts w:ascii="Calibri" w:hAnsi="Calibri" w:eastAsia="Calibri"/>
          <w:b w:val="false"/>
          <w:sz w:val="21"/>
        </w:rPr>
        <w:t xml:space="preserve"> Subject to clause 19.2, the Service is provided during the evaluation on an “as is” and “as available” basis. Preview and beta features, and any feature marked as experimental, are provided without warranty of any kind. The Provider does not warrant that the Service will be uninterrupted or error-free, or that every defect will be corrected.</w:t>
      </w:r>
    </w:p>
    <w:p w14:paraId="001003A8" w14:textId="001007DC">
      <w:pPr>
        <w:spacing w:after="120"/>
        <w:ind w:left="397" w:hanging="397"/>
        <w:jc w:val="both"/>
      </w:pPr>
      <w:r>
        <w:rPr>
          <w:rFonts w:ascii="Calibri" w:hAnsi="Calibri" w:eastAsia="Calibri"/>
          <w:b/>
          <w:color w:val="34322D"/>
          <w:sz w:val="21"/>
        </w:rPr>
        <w:t xml:space="preserve">19.4 No HSE warranty.</w:t>
      </w:r>
      <w:r>
        <w:rPr>
          <w:rFonts w:ascii="Calibri" w:hAnsi="Calibri" w:eastAsia="Calibri"/>
          <w:b w:val="false"/>
          <w:sz w:val="21"/>
        </w:rPr>
        <w:t xml:space="preserve"> The Provider does not warrant that use of the Service will achieve compliance with any law, code of practice, authority requirement, contract or standard, including ISO 45001, ADOSH-SF, the Dubai Municipality Code of Construction Safety Practice, Trakhees EHS Regulations or MOIAT requirements. The Provider does not certify the Customer's HSE management system and does not act as a competent person. The Customer remains responsible for workplace safety, statutory compliance and the approval of all site documentation.</w:t>
      </w:r>
    </w:p>
    <w:p w14:paraId="001003AA" w14:textId="001007DD">
      <w:pPr>
        <w:spacing w:after="120"/>
        <w:ind w:left="397" w:hanging="397"/>
        <w:jc w:val="both"/>
      </w:pPr>
      <w:r>
        <w:rPr>
          <w:rFonts w:ascii="Calibri" w:hAnsi="Calibri" w:eastAsia="Calibri"/>
          <w:b/>
          <w:color w:val="34322D"/>
          <w:sz w:val="21"/>
        </w:rPr>
        <w:t xml:space="preserve">19.5 AI disclaimer.</w:t>
      </w:r>
      <w:r>
        <w:rPr>
          <w:rFonts w:ascii="Calibri" w:hAnsi="Calibri" w:eastAsia="Calibri"/>
          <w:b w:val="false"/>
          <w:sz w:val="21"/>
        </w:rPr>
        <w:t xml:space="preserve"> The Provider does not warrant the accuracy, completeness, suitability or freedom from error of any AI-assisted output. All AI output must be reviewed and approved by a competent person before use, as required by clause 12.2.</w:t>
      </w:r>
    </w:p>
    <w:p w14:paraId="001003AC" w14:textId="001007DE">
      <w:pPr>
        <w:spacing w:after="120"/>
        <w:ind w:left="397" w:hanging="397"/>
        <w:jc w:val="both"/>
      </w:pPr>
      <w:r>
        <w:rPr>
          <w:rFonts w:ascii="Calibri" w:hAnsi="Calibri" w:eastAsia="Calibri"/>
          <w:b/>
          <w:color w:val="34322D"/>
          <w:sz w:val="21"/>
        </w:rPr>
        <w:t xml:space="preserve">19.6 Statutory rights.</w:t>
      </w:r>
      <w:r>
        <w:rPr>
          <w:rFonts w:ascii="Calibri" w:hAnsi="Calibri" w:eastAsia="Calibri"/>
          <w:b w:val="false"/>
          <w:sz w:val="21"/>
        </w:rPr>
        <w:t xml:space="preserve"> Nothing in this Agreement excludes, restricts or limits any warranty, right or remedy that cannot lawfully be excluded, restricted or limited.</w:t>
      </w:r>
    </w:p>
    <w:p w14:paraId="001003AE" w14:textId="001003AF">
      <w:pPr>
        <w:pStyle w:val="Heading1"/>
        <w:keepNext/>
        <w:keepLines/>
        <w:spacing w:before="360" w:after="160"/>
      </w:pPr>
      <w:r>
        <w:rPr>
          <w:rFonts w:ascii="Calibri" w:hAnsi="Calibri" w:eastAsia="Calibri"/>
          <w:b/>
          <w:color w:val="005A4B"/>
          <w:sz w:val="30"/>
        </w:rPr>
        <w:t xml:space="preserve">20. Limitation of liability</w:t>
      </w:r>
    </w:p>
    <w:p w14:paraId="001003B0" w14:textId="001007DF">
      <w:pPr>
        <w:spacing w:after="120"/>
        <w:ind w:left="397" w:hanging="397"/>
        <w:jc w:val="both"/>
      </w:pPr>
      <w:r>
        <w:rPr>
          <w:rFonts w:ascii="Calibri" w:hAnsi="Calibri" w:eastAsia="Calibri"/>
          <w:b/>
          <w:color w:val="34322D"/>
          <w:sz w:val="21"/>
        </w:rPr>
        <w:t xml:space="preserve">20.1 Excluded losses.</w:t>
      </w:r>
      <w:r>
        <w:rPr>
          <w:rFonts w:ascii="Calibri" w:hAnsi="Calibri" w:eastAsia="Calibri"/>
          <w:b w:val="false"/>
          <w:sz w:val="21"/>
        </w:rPr>
        <w:t xml:space="preserve"> Neither Party is liable to the other for indirect or consequential loss, loss of profit, loss of revenue, loss of anticipated saving, loss of business or goodwill, loss or corruption of data (except where caused by the Provider's breach of clause 10 or clause 11, in which case the cost of restoring the data from the most recent backup is recoverable), or the cost of substitute services.</w:t>
      </w:r>
    </w:p>
    <w:p w14:paraId="001003B2" w14:textId="001007E0">
      <w:pPr>
        <w:spacing w:after="120"/>
        <w:ind w:left="397" w:hanging="397"/>
        <w:jc w:val="both"/>
      </w:pPr>
      <w:r>
        <w:rPr>
          <w:rFonts w:ascii="Calibri" w:hAnsi="Calibri" w:eastAsia="Calibri"/>
          <w:b/>
          <w:color w:val="34322D"/>
          <w:sz w:val="21"/>
        </w:rPr>
        <w:t xml:space="preserve">20.2 Cap.</w:t>
      </w:r>
      <w:r>
        <w:rPr>
          <w:rFonts w:ascii="Calibri" w:hAnsi="Calibri" w:eastAsia="Calibri"/>
          <w:b w:val="false"/>
          <w:sz w:val="21"/>
        </w:rPr>
        <w:t xml:space="preserve"> Subject to clause 20.3, each Party's total aggregate liability arising out of or in connection with this Agreement, whether in contract, tort (including negligence), breach of statutory duty or otherwise, is limited to: (a) where fees have been paid under this Agreement, the greater of the fees paid in the twelve (12) months before the event giving rise to the claim and USD 10,000; or (b) where the evaluation is provided at no charge, USD 10,000.</w:t>
      </w:r>
    </w:p>
    <w:p w14:paraId="001003B4" w14:textId="001007E1">
      <w:pPr>
        <w:spacing w:after="120"/>
        <w:ind w:left="397" w:hanging="397"/>
        <w:jc w:val="both"/>
      </w:pPr>
      <w:r>
        <w:rPr>
          <w:rFonts w:ascii="Calibri" w:hAnsi="Calibri" w:eastAsia="Calibri"/>
          <w:b/>
          <w:color w:val="34322D"/>
          <w:sz w:val="21"/>
        </w:rPr>
        <w:t xml:space="preserve">20.3 Unlimited liability.</w:t>
      </w:r>
      <w:r>
        <w:rPr>
          <w:rFonts w:ascii="Calibri" w:hAnsi="Calibri" w:eastAsia="Calibri"/>
          <w:b w:val="false"/>
          <w:sz w:val="21"/>
        </w:rPr>
        <w:t xml:space="preserve"> Nothing in this Agreement limits or excludes either Party's liability for: (a) death or personal injury caused by its negligence; (b) fraud or fraudulent misrepresentation; (c) breach of clause 3.4 (restrictions) or clause 14 (confidentiality); (d) infringement of the other Party's intellectual property rights; or (e) any liability that cannot lawfully be limited or excluded.</w:t>
      </w:r>
    </w:p>
    <w:p w14:paraId="001003B6" w14:textId="001007E2">
      <w:pPr>
        <w:spacing w:after="120"/>
        <w:ind w:left="397" w:hanging="397"/>
        <w:jc w:val="both"/>
      </w:pPr>
      <w:r>
        <w:rPr>
          <w:rFonts w:ascii="Calibri" w:hAnsi="Calibri" w:eastAsia="Calibri"/>
          <w:b/>
          <w:color w:val="34322D"/>
          <w:sz w:val="21"/>
        </w:rPr>
        <w:t xml:space="preserve">20.4 Service Credits.</w:t>
      </w:r>
      <w:r>
        <w:rPr>
          <w:rFonts w:ascii="Calibri" w:hAnsi="Calibri" w:eastAsia="Calibri"/>
          <w:b w:val="false"/>
          <w:sz w:val="21"/>
        </w:rPr>
        <w:t xml:space="preserve"> Service Credits are the Customer's sole financial remedy for a failure to meet the Availability target, as provided in clause 7.7. This clause 20.4 does not limit the Customer's rights for a breach of clause 10, clause 11 or clause 14.</w:t>
      </w:r>
    </w:p>
    <w:p w14:paraId="001003B8" w14:textId="001007E3">
      <w:pPr>
        <w:spacing w:after="120"/>
        <w:ind w:left="397" w:hanging="397"/>
        <w:jc w:val="both"/>
      </w:pPr>
      <w:r>
        <w:rPr>
          <w:rFonts w:ascii="Calibri" w:hAnsi="Calibri" w:eastAsia="Calibri"/>
          <w:b/>
          <w:color w:val="34322D"/>
          <w:sz w:val="21"/>
        </w:rPr>
        <w:t xml:space="preserve">20.5 Mitigation.</w:t>
      </w:r>
      <w:r>
        <w:rPr>
          <w:rFonts w:ascii="Calibri" w:hAnsi="Calibri" w:eastAsia="Calibri"/>
          <w:b w:val="false"/>
          <w:sz w:val="21"/>
        </w:rPr>
        <w:t xml:space="preserve"> Each Party shall take reasonable steps to mitigate any loss it suffers in connection with this Agreement, including by maintaining the independent copy of critical records required by clause 9.4.</w:t>
      </w:r>
    </w:p>
    <w:p w14:paraId="001003BA" w14:textId="001007E4">
      <w:pPr>
        <w:spacing w:after="120"/>
        <w:ind w:left="397" w:hanging="397"/>
        <w:jc w:val="both"/>
      </w:pPr>
      <w:r>
        <w:rPr>
          <w:rFonts w:ascii="Calibri" w:hAnsi="Calibri" w:eastAsia="Calibri"/>
          <w:b/>
          <w:color w:val="34322D"/>
          <w:sz w:val="21"/>
        </w:rPr>
        <w:t xml:space="preserve">20.6 Allocation of risk.</w:t>
      </w:r>
      <w:r>
        <w:rPr>
          <w:rFonts w:ascii="Calibri" w:hAnsi="Calibri" w:eastAsia="Calibri"/>
          <w:b w:val="false"/>
          <w:sz w:val="21"/>
        </w:rPr>
        <w:t xml:space="preserve"> The limitations in this clause 20 reflect the allocation of risk between the Parties, including the fact that the evaluation is provided at no charge or at a reduced charge, and are a material part of the basis on which the Parties have entered into this Agreement.</w:t>
      </w:r>
    </w:p>
    <w:p w14:paraId="001003BC" w14:textId="001003BD">
      <w:pPr>
        <w:pStyle w:val="Heading1"/>
        <w:keepNext/>
        <w:keepLines/>
        <w:spacing w:before="360" w:after="160"/>
      </w:pPr>
      <w:r>
        <w:rPr>
          <w:rFonts w:ascii="Calibri" w:hAnsi="Calibri" w:eastAsia="Calibri"/>
          <w:b/>
          <w:color w:val="005A4B"/>
          <w:sz w:val="30"/>
        </w:rPr>
        <w:t xml:space="preserve">21. Indemnities</w:t>
      </w:r>
    </w:p>
    <w:p w14:paraId="001003BE" w14:textId="001007E5">
      <w:pPr>
        <w:spacing w:after="120"/>
        <w:ind w:left="397" w:hanging="397"/>
        <w:jc w:val="both"/>
      </w:pPr>
      <w:r>
        <w:rPr>
          <w:rFonts w:ascii="Calibri" w:hAnsi="Calibri" w:eastAsia="Calibri"/>
          <w:b/>
          <w:color w:val="34322D"/>
          <w:sz w:val="21"/>
        </w:rPr>
        <w:t xml:space="preserve">21.1 Provider indemnity.</w:t>
      </w:r>
      <w:r>
        <w:rPr>
          <w:rFonts w:ascii="Calibri" w:hAnsi="Calibri" w:eastAsia="Calibri"/>
          <w:b w:val="false"/>
          <w:sz w:val="21"/>
        </w:rPr>
        <w:t xml:space="preserve"> The Provider shall indemnify the Customer against direct losses, liabilities and reasonable legal costs awarded against the Customer in a third-party claim that the Service, used in accordance with this Agreement, infringes a United Arab Emirates or European Union registered intellectual property right. If such a claim is made or is reasonably likely, the Provider may, at its option, procure the right for the Customer to continue using the Service, modify the Service so that it is non-infringing while retaining equivalent functionality, or terminate this Agreement and refund any fees paid for the unused portion of the Evaluation Period. This indemnity does not apply to a claim arising from Customer Content, from a modification of the Service by the Customer, from use in combination with a product not supplied by the Provider, or from a version of the Service that the Provider has asked the Customer to stop using.</w:t>
      </w:r>
    </w:p>
    <w:p w14:paraId="001003C0" w14:textId="001007E6">
      <w:pPr>
        <w:spacing w:after="120"/>
        <w:ind w:left="397" w:hanging="397"/>
        <w:jc w:val="both"/>
      </w:pPr>
      <w:r>
        <w:rPr>
          <w:rFonts w:ascii="Calibri" w:hAnsi="Calibri" w:eastAsia="Calibri"/>
          <w:b/>
          <w:color w:val="34322D"/>
          <w:sz w:val="21"/>
        </w:rPr>
        <w:t xml:space="preserve">21.2 Customer indemnity.</w:t>
      </w:r>
      <w:r>
        <w:rPr>
          <w:rFonts w:ascii="Calibri" w:hAnsi="Calibri" w:eastAsia="Calibri"/>
          <w:b w:val="false"/>
          <w:sz w:val="21"/>
        </w:rPr>
        <w:t xml:space="preserve"> The Customer shall indemnify the Provider against direct losses, liabilities and reasonable legal costs arising from a third-party claim that Customer Content infringes a third party's intellectual property right, breaches a duty of confidence, or was uploaded in breach of applicable data protection law, provided that the Customer is responsible for that Content.</w:t>
      </w:r>
    </w:p>
    <w:p w14:paraId="001003C2" w14:textId="001007E7">
      <w:pPr>
        <w:spacing w:after="120"/>
        <w:ind w:left="397" w:hanging="397"/>
        <w:jc w:val="both"/>
      </w:pPr>
      <w:r>
        <w:rPr>
          <w:rFonts w:ascii="Calibri" w:hAnsi="Calibri" w:eastAsia="Calibri"/>
          <w:b/>
          <w:color w:val="34322D"/>
          <w:sz w:val="21"/>
        </w:rPr>
        <w:t xml:space="preserve">21.3 Procedure.</w:t>
      </w:r>
      <w:r>
        <w:rPr>
          <w:rFonts w:ascii="Calibri" w:hAnsi="Calibri" w:eastAsia="Calibri"/>
          <w:b w:val="false"/>
          <w:sz w:val="21"/>
        </w:rPr>
        <w:t xml:space="preserve"> The indemnified Party shall notify the indemnifying Party promptly, give it reasonable control of the defence and settlement, and provide reasonable assistance. The indemnifying Party shall not settle a claim in a way that admits liability on the part of the indemnified Party or imposes obligations on it without its written consent.</w:t>
      </w:r>
    </w:p>
    <w:p w14:paraId="001003C4" w14:textId="001003C5">
      <w:pPr>
        <w:pStyle w:val="Heading1"/>
        <w:keepNext/>
        <w:keepLines/>
        <w:spacing w:before="360" w:after="160"/>
      </w:pPr>
      <w:r>
        <w:rPr>
          <w:rFonts w:ascii="Calibri" w:hAnsi="Calibri" w:eastAsia="Calibri"/>
          <w:b/>
          <w:color w:val="005A4B"/>
          <w:sz w:val="30"/>
        </w:rPr>
        <w:t xml:space="preserve">22. Compliance</w:t>
      </w:r>
    </w:p>
    <w:p w14:paraId="001003C6" w14:textId="001007E8">
      <w:pPr>
        <w:spacing w:after="120"/>
        <w:ind w:left="397" w:hanging="397"/>
        <w:jc w:val="both"/>
      </w:pPr>
      <w:r>
        <w:rPr>
          <w:rFonts w:ascii="Calibri" w:hAnsi="Calibri" w:eastAsia="Calibri"/>
          <w:b/>
          <w:color w:val="34322D"/>
          <w:sz w:val="21"/>
        </w:rPr>
        <w:t xml:space="preserve">22.1 General compliance.</w:t>
      </w:r>
      <w:r>
        <w:rPr>
          <w:rFonts w:ascii="Calibri" w:hAnsi="Calibri" w:eastAsia="Calibri"/>
          <w:b w:val="false"/>
          <w:sz w:val="21"/>
        </w:rPr>
        <w:t xml:space="preserve"> Each Party shall comply with all laws applicable to it in the United Arab Emirates and in any other jurisdiction in which it operates, including applicable data protection, cybercrime, anti-bribery, anti-money laundering and sanctions laws.</w:t>
      </w:r>
    </w:p>
    <w:p w14:paraId="001003C8" w14:textId="001007E9">
      <w:pPr>
        <w:spacing w:after="120"/>
        <w:ind w:left="397" w:hanging="397"/>
        <w:jc w:val="both"/>
      </w:pPr>
      <w:r>
        <w:rPr>
          <w:rFonts w:ascii="Calibri" w:hAnsi="Calibri" w:eastAsia="Calibri"/>
          <w:b/>
          <w:color w:val="34322D"/>
          <w:sz w:val="21"/>
        </w:rPr>
        <w:t xml:space="preserve">22.2 Anti-bribery.</w:t>
      </w:r>
      <w:r>
        <w:rPr>
          <w:rFonts w:ascii="Calibri" w:hAnsi="Calibri" w:eastAsia="Calibri"/>
          <w:b w:val="false"/>
          <w:sz w:val="21"/>
        </w:rPr>
        <w:t xml:space="preserve"> Neither Party shall offer, promise, give or accept any bribe, facilitation payment or other improper advantage in connection with this Agreement, and each Party shall have in place reasonable procedures to prevent such conduct.</w:t>
      </w:r>
    </w:p>
    <w:p w14:paraId="001003CA" w14:textId="001007EA">
      <w:pPr>
        <w:spacing w:after="120"/>
        <w:ind w:left="397" w:hanging="397"/>
        <w:jc w:val="both"/>
      </w:pPr>
      <w:r>
        <w:rPr>
          <w:rFonts w:ascii="Calibri" w:hAnsi="Calibri" w:eastAsia="Calibri"/>
          <w:b/>
          <w:color w:val="34322D"/>
          <w:sz w:val="21"/>
        </w:rPr>
        <w:t xml:space="preserve">22.3 Sanctions and export controls.</w:t>
      </w:r>
      <w:r>
        <w:rPr>
          <w:rFonts w:ascii="Calibri" w:hAnsi="Calibri" w:eastAsia="Calibri"/>
          <w:b w:val="false"/>
          <w:sz w:val="21"/>
        </w:rPr>
        <w:t xml:space="preserve"> Each Party represents and warrants that it is not the subject of any sanction or trade restriction that would prohibit it from performing this Agreement, and that it will not use the Service in breach of any applicable export control or sanctions regime.</w:t>
      </w:r>
    </w:p>
    <w:p w14:paraId="001003CC" w14:textId="001007EB">
      <w:pPr>
        <w:spacing w:after="120"/>
        <w:ind w:left="397" w:hanging="397"/>
        <w:jc w:val="both"/>
      </w:pPr>
      <w:r>
        <w:rPr>
          <w:rFonts w:ascii="Calibri" w:hAnsi="Calibri" w:eastAsia="Calibri"/>
          <w:b/>
          <w:color w:val="34322D"/>
          <w:sz w:val="21"/>
        </w:rPr>
        <w:t xml:space="preserve">22.4 Cooperation with authorities.</w:t>
      </w:r>
      <w:r>
        <w:rPr>
          <w:rFonts w:ascii="Calibri" w:hAnsi="Calibri" w:eastAsia="Calibri"/>
          <w:b w:val="false"/>
          <w:sz w:val="21"/>
        </w:rPr>
        <w:t xml:space="preserve"> Where an authority lawfully requires information from the Provider relating to the Customer, the Provider shall, where lawfully able to do so, notify the Customer before disclosing it and shall disclose only the minimum required.</w:t>
      </w:r>
    </w:p>
    <w:p w14:paraId="001003CE" w14:textId="001003CF">
      <w:pPr>
        <w:pStyle w:val="Heading1"/>
        <w:keepNext/>
        <w:keepLines/>
        <w:spacing w:before="360" w:after="160"/>
      </w:pPr>
      <w:r>
        <w:rPr>
          <w:rFonts w:ascii="Calibri" w:hAnsi="Calibri" w:eastAsia="Calibri"/>
          <w:b/>
          <w:color w:val="005A4B"/>
          <w:sz w:val="30"/>
        </w:rPr>
        <w:t xml:space="preserve">23. Force majeure</w:t>
      </w:r>
    </w:p>
    <w:p w14:paraId="001003D0" w14:textId="001007EC">
      <w:pPr>
        <w:spacing w:after="120"/>
        <w:ind w:left="397" w:hanging="397"/>
        <w:jc w:val="both"/>
      </w:pPr>
      <w:r>
        <w:rPr>
          <w:rFonts w:ascii="Calibri" w:hAnsi="Calibri" w:eastAsia="Calibri"/>
          <w:b/>
          <w:color w:val="34322D"/>
          <w:sz w:val="21"/>
        </w:rPr>
        <w:t xml:space="preserve">23.1 Relief.</w:t>
      </w:r>
      <w:r>
        <w:rPr>
          <w:rFonts w:ascii="Calibri" w:hAnsi="Calibri" w:eastAsia="Calibri"/>
          <w:b w:val="false"/>
          <w:sz w:val="21"/>
        </w:rPr>
        <w:t xml:space="preserve"> Neither Party is liable for a failure or delay in performing an obligation under this Agreement (other than an obligation to pay money) caused by an event beyond its reasonable control, including war, civil unrest, terrorism, epidemic, natural disaster, flood, fire, failure of a public telecommunications network, or an act of government.</w:t>
      </w:r>
    </w:p>
    <w:p w14:paraId="001003D2" w14:textId="001007ED">
      <w:pPr>
        <w:spacing w:after="120"/>
        <w:ind w:left="397" w:hanging="397"/>
        <w:jc w:val="both"/>
      </w:pPr>
      <w:r>
        <w:rPr>
          <w:rFonts w:ascii="Calibri" w:hAnsi="Calibri" w:eastAsia="Calibri"/>
          <w:b/>
          <w:color w:val="34322D"/>
          <w:sz w:val="21"/>
        </w:rPr>
        <w:t xml:space="preserve">23.2 Exclusions.</w:t>
      </w:r>
      <w:r>
        <w:rPr>
          <w:rFonts w:ascii="Calibri" w:hAnsi="Calibri" w:eastAsia="Calibri"/>
          <w:b w:val="false"/>
          <w:sz w:val="21"/>
        </w:rPr>
        <w:t xml:space="preserve"> Force majeure does not include a failure of a third-party provider that the affected Party has selected and could reasonably have mitigated, a lack of funds, or a failure caused by the affected Party's own act or omission.</w:t>
      </w:r>
    </w:p>
    <w:p w14:paraId="001003D4" w14:textId="001007EE">
      <w:pPr>
        <w:spacing w:after="120"/>
        <w:ind w:left="397" w:hanging="397"/>
        <w:jc w:val="both"/>
      </w:pPr>
      <w:r>
        <w:rPr>
          <w:rFonts w:ascii="Calibri" w:hAnsi="Calibri" w:eastAsia="Calibri"/>
          <w:b/>
          <w:color w:val="34322D"/>
          <w:sz w:val="21"/>
        </w:rPr>
        <w:t xml:space="preserve">23.3 Notice and mitigation.</w:t>
      </w:r>
      <w:r>
        <w:rPr>
          <w:rFonts w:ascii="Calibri" w:hAnsi="Calibri" w:eastAsia="Calibri"/>
          <w:b w:val="false"/>
          <w:sz w:val="21"/>
        </w:rPr>
        <w:t xml:space="preserve"> The affected Party shall notify the other Party promptly, use reasonable efforts to mitigate the effect of the event, and resume performance as soon as reasonably practicable.</w:t>
      </w:r>
    </w:p>
    <w:p w14:paraId="001003D6" w14:textId="001007EF">
      <w:pPr>
        <w:spacing w:after="120"/>
        <w:ind w:left="397" w:hanging="397"/>
        <w:jc w:val="both"/>
      </w:pPr>
      <w:r>
        <w:rPr>
          <w:rFonts w:ascii="Calibri" w:hAnsi="Calibri" w:eastAsia="Calibri"/>
          <w:b/>
          <w:color w:val="34322D"/>
          <w:sz w:val="21"/>
        </w:rPr>
        <w:t xml:space="preserve">23.4 Extended force majeure.</w:t>
      </w:r>
      <w:r>
        <w:rPr>
          <w:rFonts w:ascii="Calibri" w:hAnsi="Calibri" w:eastAsia="Calibri"/>
          <w:b w:val="false"/>
          <w:sz w:val="21"/>
        </w:rPr>
        <w:t xml:space="preserve"> If a force majeure event continues for more than thirty (30) consecutive days, either Party may terminate this Agreement on written notice without liability for the termination itself.</w:t>
      </w:r>
    </w:p>
    <w:p w14:paraId="001003D8" w14:textId="001003D9">
      <w:pPr>
        <w:pStyle w:val="Heading1"/>
        <w:keepNext/>
        <w:keepLines/>
        <w:spacing w:before="360" w:after="160"/>
      </w:pPr>
      <w:r>
        <w:rPr>
          <w:rFonts w:ascii="Calibri" w:hAnsi="Calibri" w:eastAsia="Calibri"/>
          <w:b/>
          <w:color w:val="005A4B"/>
          <w:sz w:val="30"/>
        </w:rPr>
        <w:t xml:space="preserve">24. Notices</w:t>
      </w:r>
    </w:p>
    <w:p w14:paraId="001003DA" w14:textId="001007F0">
      <w:pPr>
        <w:spacing w:after="120"/>
        <w:ind w:left="397" w:hanging="397"/>
        <w:jc w:val="both"/>
      </w:pPr>
      <w:r>
        <w:rPr>
          <w:rFonts w:ascii="Calibri" w:hAnsi="Calibri" w:eastAsia="Calibri"/>
          <w:b/>
          <w:color w:val="34322D"/>
          <w:sz w:val="21"/>
        </w:rPr>
        <w:t xml:space="preserve">24.1 Form and address.</w:t>
      </w:r>
      <w:r>
        <w:rPr>
          <w:rFonts w:ascii="Calibri" w:hAnsi="Calibri" w:eastAsia="Calibri"/>
          <w:b w:val="false"/>
          <w:sz w:val="21"/>
        </w:rPr>
        <w:t xml:space="preserve"> Notices under this Agreement shall be in writing and sent to the addresses or email addresses recorded in the Agreement particulars, or to such other address as a Party notifies in writing.</w:t>
      </w:r>
    </w:p>
    <w:p w14:paraId="001003DC" w14:textId="001007F1">
      <w:pPr>
        <w:spacing w:after="120"/>
        <w:ind w:left="397" w:hanging="397"/>
        <w:jc w:val="both"/>
      </w:pPr>
      <w:r>
        <w:rPr>
          <w:rFonts w:ascii="Calibri" w:hAnsi="Calibri" w:eastAsia="Calibri"/>
          <w:b/>
          <w:color w:val="34322D"/>
          <w:sz w:val="21"/>
        </w:rPr>
        <w:t xml:space="preserve">24.2 Deemed receipt.</w:t>
      </w:r>
      <w:r>
        <w:rPr>
          <w:rFonts w:ascii="Calibri" w:hAnsi="Calibri" w:eastAsia="Calibri"/>
          <w:b w:val="false"/>
          <w:sz w:val="21"/>
        </w:rPr>
        <w:t xml:space="preserve"> A notice is deemed received: (a) on delivery, if delivered by hand; (b) on the next Business Day, if sent by courier; and (c) at the time of transmission, if sent by email before 5.00 p.m. on a Business Day, or otherwise on the next Business Day, provided that no delivery failure notification is received.</w:t>
      </w:r>
    </w:p>
    <w:p w14:paraId="001003DE" w14:textId="001007F2">
      <w:pPr>
        <w:spacing w:after="120"/>
        <w:ind w:left="397" w:hanging="397"/>
        <w:jc w:val="both"/>
      </w:pPr>
      <w:r>
        <w:rPr>
          <w:rFonts w:ascii="Calibri" w:hAnsi="Calibri" w:eastAsia="Calibri"/>
          <w:b/>
          <w:color w:val="34322D"/>
          <w:sz w:val="21"/>
        </w:rPr>
        <w:t xml:space="preserve">24.3 Operational communications.</w:t>
      </w:r>
      <w:r>
        <w:rPr>
          <w:rFonts w:ascii="Calibri" w:hAnsi="Calibri" w:eastAsia="Calibri"/>
          <w:b w:val="false"/>
          <w:sz w:val="21"/>
        </w:rPr>
        <w:t xml:space="preserve"> Support tickets, incident notifications, maintenance notices and availability reports may be sent to the Customer's administrator and, where applicable, through in-app notification, and are not formal notices under this clause 24.</w:t>
      </w:r>
    </w:p>
    <w:p w14:paraId="001003E0" w14:textId="001003E1">
      <w:pPr>
        <w:pStyle w:val="Heading1"/>
        <w:keepNext/>
        <w:keepLines/>
        <w:spacing w:before="360" w:after="160"/>
      </w:pPr>
      <w:r>
        <w:rPr>
          <w:rFonts w:ascii="Calibri" w:hAnsi="Calibri" w:eastAsia="Calibri"/>
          <w:b/>
          <w:color w:val="005A4B"/>
          <w:sz w:val="30"/>
        </w:rPr>
        <w:t xml:space="preserve">25. Governing law and dispute resolution</w:t>
      </w:r>
    </w:p>
    <w:p w14:paraId="001003E2" w14:textId="001007F3">
      <w:pPr>
        <w:spacing w:after="120"/>
        <w:ind w:left="397" w:hanging="397"/>
        <w:jc w:val="both"/>
      </w:pPr>
      <w:r>
        <w:rPr>
          <w:rFonts w:ascii="Calibri" w:hAnsi="Calibri" w:eastAsia="Calibri"/>
          <w:b/>
          <w:color w:val="34322D"/>
          <w:sz w:val="21"/>
        </w:rPr>
        <w:t xml:space="preserve">25.1 Governing law.</w:t>
      </w:r>
      <w:r>
        <w:rPr>
          <w:rFonts w:ascii="Calibri" w:hAnsi="Calibri" w:eastAsia="Calibri"/>
          <w:b w:val="false"/>
          <w:sz w:val="21"/>
        </w:rPr>
        <w:t xml:space="preserve"> This Agreement and any dispute or claim arising out of or in connection with it, including non-contractual disputes, are governed by the laws of the United Arab Emirates.</w:t>
      </w:r>
    </w:p>
    <w:p w14:paraId="001003E4" w14:textId="001007F4">
      <w:pPr>
        <w:spacing w:after="120"/>
        <w:ind w:left="397" w:hanging="397"/>
        <w:jc w:val="both"/>
      </w:pPr>
      <w:r>
        <w:rPr>
          <w:rFonts w:ascii="Calibri" w:hAnsi="Calibri" w:eastAsia="Calibri"/>
          <w:b/>
          <w:color w:val="34322D"/>
          <w:sz w:val="21"/>
        </w:rPr>
        <w:t xml:space="preserve">25.2 Jurisdiction.</w:t>
      </w:r>
      <w:r>
        <w:rPr>
          <w:rFonts w:ascii="Calibri" w:hAnsi="Calibri" w:eastAsia="Calibri"/>
          <w:b w:val="false"/>
          <w:sz w:val="21"/>
        </w:rPr>
        <w:t xml:space="preserve"> Subject to clause 25.4, the courts of the Emirate of Dubai have exclusive jurisdiction to settle any dispute arising out of or in connection with this Agreement.</w:t>
      </w:r>
    </w:p>
    <w:p w14:paraId="001003E6" w14:textId="001007F5">
      <w:pPr>
        <w:spacing w:after="120"/>
        <w:ind w:left="397" w:hanging="397"/>
        <w:jc w:val="both"/>
      </w:pPr>
      <w:r>
        <w:rPr>
          <w:rFonts w:ascii="Calibri" w:hAnsi="Calibri" w:eastAsia="Calibri"/>
          <w:b/>
          <w:color w:val="34322D"/>
          <w:sz w:val="21"/>
        </w:rPr>
        <w:t xml:space="preserve">25.3 Escalation.</w:t>
      </w:r>
      <w:r>
        <w:rPr>
          <w:rFonts w:ascii="Calibri" w:hAnsi="Calibri" w:eastAsia="Calibri"/>
          <w:b w:val="false"/>
          <w:sz w:val="21"/>
        </w:rPr>
        <w:t xml:space="preserve"> Before commencing proceedings, other than for urgent injunctive or interim relief, the Parties shall refer the dispute to a senior representative of each Party, who shall meet within ten (10) Business Days and use reasonable efforts to resolve it in good faith for a further period of twenty (20) Business Days. The Parties shall continue to perform their obligations during an escalation.</w:t>
      </w:r>
    </w:p>
    <w:p w14:paraId="001003E8" w14:textId="001007F6">
      <w:pPr>
        <w:spacing w:after="120"/>
        <w:ind w:left="397" w:hanging="397"/>
        <w:jc w:val="both"/>
      </w:pPr>
      <w:r>
        <w:rPr>
          <w:rFonts w:ascii="Calibri" w:hAnsi="Calibri" w:eastAsia="Calibri"/>
          <w:b/>
          <w:color w:val="34322D"/>
          <w:sz w:val="21"/>
        </w:rPr>
        <w:t xml:space="preserve">25.4 Interim relief.</w:t>
      </w:r>
      <w:r>
        <w:rPr>
          <w:rFonts w:ascii="Calibri" w:hAnsi="Calibri" w:eastAsia="Calibri"/>
          <w:b w:val="false"/>
          <w:sz w:val="21"/>
        </w:rPr>
        <w:t xml:space="preserve"> Nothing in this clause 25 prevents either Party from applying to any court of competent jurisdiction for interim, injunctive or protective relief to protect its Confidential Information or Customer Content.</w:t>
      </w:r>
    </w:p>
    <w:p w14:paraId="001003EA" w14:textId="001007F7">
      <w:pPr>
        <w:spacing w:after="120"/>
        <w:ind w:left="397" w:hanging="397"/>
        <w:jc w:val="both"/>
      </w:pPr>
      <w:r>
        <w:rPr>
          <w:rFonts w:ascii="Calibri" w:hAnsi="Calibri" w:eastAsia="Calibri"/>
          <w:b/>
          <w:color w:val="34322D"/>
          <w:sz w:val="21"/>
        </w:rPr>
        <w:t xml:space="preserve">25.5 Language of proceedings.</w:t>
      </w:r>
      <w:r>
        <w:rPr>
          <w:rFonts w:ascii="Calibri" w:hAnsi="Calibri" w:eastAsia="Calibri"/>
          <w:b w:val="false"/>
          <w:sz w:val="21"/>
        </w:rPr>
        <w:t xml:space="preserve"> This Agreement is in English. The Parties shall use reasonable efforts to have any proceedings and supporting documents conducted and produced in English where the forum permits. Any Arabic translation is for convenience only.</w:t>
      </w:r>
    </w:p>
    <w:p w14:paraId="001003EC" w14:textId="001003ED">
      <w:pPr>
        <w:pStyle w:val="Heading1"/>
        <w:keepNext/>
        <w:keepLines/>
        <w:spacing w:before="360" w:after="160"/>
      </w:pPr>
      <w:r>
        <w:rPr>
          <w:rFonts w:ascii="Calibri" w:hAnsi="Calibri" w:eastAsia="Calibri"/>
          <w:b/>
          <w:color w:val="005A4B"/>
          <w:sz w:val="30"/>
        </w:rPr>
        <w:t xml:space="preserve">26. General provisions</w:t>
      </w:r>
    </w:p>
    <w:p w14:paraId="001003EE" w14:textId="001007F8">
      <w:pPr>
        <w:spacing w:after="120"/>
        <w:ind w:left="397" w:hanging="397"/>
        <w:jc w:val="both"/>
      </w:pPr>
      <w:r>
        <w:rPr>
          <w:rFonts w:ascii="Calibri" w:hAnsi="Calibri" w:eastAsia="Calibri"/>
          <w:b/>
          <w:color w:val="34322D"/>
          <w:sz w:val="21"/>
        </w:rPr>
        <w:t xml:space="preserve">26.1 Entire agreement.</w:t>
      </w:r>
      <w:r>
        <w:rPr>
          <w:rFonts w:ascii="Calibri" w:hAnsi="Calibri" w:eastAsia="Calibri"/>
          <w:b w:val="false"/>
          <w:sz w:val="21"/>
        </w:rPr>
        <w:t xml:space="preserve"> This Agreement, together with the documents listed in clause 2.1, is the entire agreement between the Parties in relation to its subject matter and supersedes all prior discussions, understandings and arrangements relating to it, except that a separately executed Order Form prevails to the extent provided in clause 2.3.</w:t>
      </w:r>
    </w:p>
    <w:p w14:paraId="001003F0" w14:textId="001007F9">
      <w:pPr>
        <w:spacing w:after="120"/>
        <w:ind w:left="397" w:hanging="397"/>
        <w:jc w:val="both"/>
      </w:pPr>
      <w:r>
        <w:rPr>
          <w:rFonts w:ascii="Calibri" w:hAnsi="Calibri" w:eastAsia="Calibri"/>
          <w:b/>
          <w:color w:val="34322D"/>
          <w:sz w:val="21"/>
        </w:rPr>
        <w:t xml:space="preserve">26.2 Variation.</w:t>
      </w:r>
      <w:r>
        <w:rPr>
          <w:rFonts w:ascii="Calibri" w:hAnsi="Calibri" w:eastAsia="Calibri"/>
          <w:b w:val="false"/>
          <w:sz w:val="21"/>
        </w:rPr>
        <w:t xml:space="preserve"> No variation of this Agreement is effective unless it is in writing and signed by an authorised representative of each Party. Electronic signature is permitted.</w:t>
      </w:r>
    </w:p>
    <w:p w14:paraId="001003F2" w14:textId="001007FA">
      <w:pPr>
        <w:spacing w:after="120"/>
        <w:ind w:left="397" w:hanging="397"/>
        <w:jc w:val="both"/>
      </w:pPr>
      <w:r>
        <w:rPr>
          <w:rFonts w:ascii="Calibri" w:hAnsi="Calibri" w:eastAsia="Calibri"/>
          <w:b/>
          <w:color w:val="34322D"/>
          <w:sz w:val="21"/>
        </w:rPr>
        <w:t xml:space="preserve">26.3 Waiver.</w:t>
      </w:r>
      <w:r>
        <w:rPr>
          <w:rFonts w:ascii="Calibri" w:hAnsi="Calibri" w:eastAsia="Calibri"/>
          <w:b w:val="false"/>
          <w:sz w:val="21"/>
        </w:rPr>
        <w:t xml:space="preserve"> No waiver of any provision is effective unless in writing and signed by the Party granting it. No failure or delay in exercising a right operates as a waiver of it.</w:t>
      </w:r>
    </w:p>
    <w:p w14:paraId="001003F4" w14:textId="001007FB">
      <w:pPr>
        <w:spacing w:after="120"/>
        <w:ind w:left="397" w:hanging="397"/>
        <w:jc w:val="both"/>
      </w:pPr>
      <w:r>
        <w:rPr>
          <w:rFonts w:ascii="Calibri" w:hAnsi="Calibri" w:eastAsia="Calibri"/>
          <w:b/>
          <w:color w:val="34322D"/>
          <w:sz w:val="21"/>
        </w:rPr>
        <w:t xml:space="preserve">26.4 Severability.</w:t>
      </w:r>
      <w:r>
        <w:rPr>
          <w:rFonts w:ascii="Calibri" w:hAnsi="Calibri" w:eastAsia="Calibri"/>
          <w:b w:val="false"/>
          <w:sz w:val="21"/>
        </w:rPr>
        <w:t xml:space="preserve"> If any provision of this Agreement is held to be invalid, illegal or unenforceable, that provision is severed or, where permitted, modified to the minimum extent necessary, and the remaining provisions continue in full force and effect.</w:t>
      </w:r>
    </w:p>
    <w:p w14:paraId="001003F6" w14:textId="001007FC">
      <w:pPr>
        <w:spacing w:after="120"/>
        <w:ind w:left="397" w:hanging="397"/>
        <w:jc w:val="both"/>
      </w:pPr>
      <w:r>
        <w:rPr>
          <w:rFonts w:ascii="Calibri" w:hAnsi="Calibri" w:eastAsia="Calibri"/>
          <w:b/>
          <w:color w:val="34322D"/>
          <w:sz w:val="21"/>
        </w:rPr>
        <w:t xml:space="preserve">26.5 Assignment.</w:t>
      </w:r>
      <w:r>
        <w:rPr>
          <w:rFonts w:ascii="Calibri" w:hAnsi="Calibri" w:eastAsia="Calibri"/>
          <w:b w:val="false"/>
          <w:sz w:val="21"/>
        </w:rPr>
        <w:t xml:space="preserve"> Neither Party may assign or transfer this Agreement without the prior written consent of the other Party, except to an Affiliate or to a successor in connection with a merger, reorganisation or sale of substantially all of its assets, on written notice to the other Party. For the purposes of this clause, “Affiliate” means an entity that controls, is controlled by, or is under common control with, a Party.</w:t>
      </w:r>
    </w:p>
    <w:p w14:paraId="001003F8" w14:textId="001007FD">
      <w:pPr>
        <w:spacing w:after="120"/>
        <w:ind w:left="397" w:hanging="397"/>
        <w:jc w:val="both"/>
      </w:pPr>
      <w:r>
        <w:rPr>
          <w:rFonts w:ascii="Calibri" w:hAnsi="Calibri" w:eastAsia="Calibri"/>
          <w:b/>
          <w:color w:val="34322D"/>
          <w:sz w:val="21"/>
        </w:rPr>
        <w:t xml:space="preserve">26.6 Subcontracting.</w:t>
      </w:r>
      <w:r>
        <w:rPr>
          <w:rFonts w:ascii="Calibri" w:hAnsi="Calibri" w:eastAsia="Calibri"/>
          <w:b w:val="false"/>
          <w:sz w:val="21"/>
        </w:rPr>
        <w:t xml:space="preserve"> The Provider may subcontract the performance of its obligations, including to the subprocessors listed under clause 11.4, provided that it remains responsible for the performance of this Agreement and for the acts and omissions of its subcontractors as if they were its own.</w:t>
      </w:r>
    </w:p>
    <w:p w14:paraId="001003FA" w14:textId="001007FE">
      <w:pPr>
        <w:spacing w:after="120"/>
        <w:ind w:left="397" w:hanging="397"/>
        <w:jc w:val="both"/>
      </w:pPr>
      <w:r>
        <w:rPr>
          <w:rFonts w:ascii="Calibri" w:hAnsi="Calibri" w:eastAsia="Calibri"/>
          <w:b/>
          <w:color w:val="34322D"/>
          <w:sz w:val="21"/>
        </w:rPr>
        <w:t xml:space="preserve">26.7 No partnership.</w:t>
      </w:r>
      <w:r>
        <w:rPr>
          <w:rFonts w:ascii="Calibri" w:hAnsi="Calibri" w:eastAsia="Calibri"/>
          <w:b w:val="false"/>
          <w:sz w:val="21"/>
        </w:rPr>
        <w:t xml:space="preserve"> Nothing in this Agreement creates a partnership, joint venture, agency, fiduciary or employment relationship between the Parties.</w:t>
      </w:r>
    </w:p>
    <w:p w14:paraId="001003FC" w14:textId="001007FF">
      <w:pPr>
        <w:spacing w:after="120"/>
        <w:ind w:left="397" w:hanging="397"/>
        <w:jc w:val="both"/>
      </w:pPr>
      <w:r>
        <w:rPr>
          <w:rFonts w:ascii="Calibri" w:hAnsi="Calibri" w:eastAsia="Calibri"/>
          <w:b/>
          <w:color w:val="34322D"/>
          <w:sz w:val="21"/>
        </w:rPr>
        <w:t xml:space="preserve">26.8 No third party rights.</w:t>
      </w:r>
      <w:r>
        <w:rPr>
          <w:rFonts w:ascii="Calibri" w:hAnsi="Calibri" w:eastAsia="Calibri"/>
          <w:b w:val="false"/>
          <w:sz w:val="21"/>
        </w:rPr>
        <w:t xml:space="preserve"> This Agreement does not create any right for any person who is not a Party, except that an Affiliate of a Party may enforce clause 3.4 as an intended beneficiary at that Party's discretion.</w:t>
      </w:r>
    </w:p>
    <w:p w14:paraId="001003FE" w14:textId="00100800">
      <w:pPr>
        <w:spacing w:after="120"/>
        <w:ind w:left="397" w:hanging="397"/>
        <w:jc w:val="both"/>
      </w:pPr>
      <w:r>
        <w:rPr>
          <w:rFonts w:ascii="Calibri" w:hAnsi="Calibri" w:eastAsia="Calibri"/>
          <w:b/>
          <w:color w:val="34322D"/>
          <w:sz w:val="21"/>
        </w:rPr>
        <w:t xml:space="preserve">26.9 Relationship with the Terms of Service.</w:t>
      </w:r>
      <w:r>
        <w:rPr>
          <w:rFonts w:ascii="Calibri" w:hAnsi="Calibri" w:eastAsia="Calibri"/>
          <w:b w:val="false"/>
          <w:sz w:val="21"/>
        </w:rPr>
        <w:t xml:space="preserve"> Where this Agreement and the Terms of Service both address a matter, this Agreement prevails to the extent of any inconsistency, as provided in clause 2.3. The Terms of Service continue to apply to any use of the Service by an individual in a personal capacity.</w:t>
      </w:r>
    </w:p>
    <w:p w14:paraId="00100400" w14:textId="00100801">
      <w:pPr>
        <w:spacing w:after="120"/>
        <w:ind w:left="397" w:hanging="397"/>
        <w:jc w:val="both"/>
      </w:pPr>
      <w:r>
        <w:rPr>
          <w:rFonts w:ascii="Calibri" w:hAnsi="Calibri" w:eastAsia="Calibri"/>
          <w:b/>
          <w:color w:val="34322D"/>
          <w:sz w:val="21"/>
        </w:rPr>
        <w:t xml:space="preserve">26.10 Counterparts and electronic signature.</w:t>
      </w:r>
      <w:r>
        <w:rPr>
          <w:rFonts w:ascii="Calibri" w:hAnsi="Calibri" w:eastAsia="Calibri"/>
          <w:b w:val="false"/>
          <w:sz w:val="21"/>
        </w:rPr>
        <w:t xml:space="preserve"> This Agreement may be executed in counterparts, each of which is an original and all of which together constitute one instrument. Electronic signatures and electronic records are valid and enforceable in accordance with Federal Decree-Law No. 46 of 2021.</w:t>
      </w:r>
    </w:p>
    <w:p w14:paraId="00100402" w14:textId="00100802">
      <w:pPr>
        <w:spacing w:after="120"/>
        <w:ind w:left="397" w:hanging="397"/>
        <w:jc w:val="both"/>
      </w:pPr>
      <w:r>
        <w:rPr>
          <w:rFonts w:ascii="Calibri" w:hAnsi="Calibri" w:eastAsia="Calibri"/>
          <w:b/>
          <w:color w:val="34322D"/>
          <w:sz w:val="21"/>
        </w:rPr>
        <w:t xml:space="preserve">26.11 Further assurance.</w:t>
      </w:r>
      <w:r>
        <w:rPr>
          <w:rFonts w:ascii="Calibri" w:hAnsi="Calibri" w:eastAsia="Calibri"/>
          <w:b w:val="false"/>
          <w:sz w:val="21"/>
        </w:rPr>
        <w:t xml:space="preserve"> Each Party shall, at its own cost, do all things reasonably necessary to give effect to this Agreement, including executing any further document reasonably requested by the other Party.</w:t>
      </w:r>
    </w:p>
    <w:p w14:paraId="00100404" w14:textId="00100405">
      <w:pPr>
        <w:pStyle w:val="Heading1"/>
        <w:keepNext/>
        <w:keepLines/>
        <w:spacing w:before="360" w:after="160"/>
      </w:pPr>
      <w:r>
        <w:rPr>
          <w:rFonts w:ascii="Calibri" w:hAnsi="Calibri" w:eastAsia="Calibri"/>
          <w:b/>
          <w:color w:val="005A4B"/>
          <w:sz w:val="30"/>
        </w:rPr>
        <w:t xml:space="preserve">Execution</w:t>
      </w:r>
    </w:p>
    <w:p w14:paraId="00100406" w14:textId="00100407">
      <w:pPr>
        <w:spacing w:after="280"/>
        <w:jc w:val="both"/>
      </w:pPr>
      <w:r>
        <w:rPr>
          <w:rFonts w:ascii="Calibri" w:hAnsi="Calibri" w:eastAsia="Calibri"/>
          <w:color w:val="34322D"/>
          <w:sz w:val="21"/>
        </w:rPr>
        <w:t xml:space="preserve">The Parties have executed this Agreement as of the Effective Date. By signing, each signatory confirms that they are duly authorised to bind the Party for which they sign, and the Customer confirms that it has read clause 2.4 (software-only licence) and clause 2.5 (shared responsibility).</w:t>
      </w:r>
    </w:p>
    <w:tbl>
      <w:tblPr>
        <w:tblW w:w="5000" w:type="pct"/>
        <w:tblBorders>
          <w:top w:val="single" w:color="DCDCDC" w:sz="4"/>
          <w:left w:val="single" w:color="DCDCDC" w:sz="4"/>
          <w:bottom w:val="single" w:color="DCDCDC" w:sz="4"/>
          <w:right w:val="single" w:color="DCDCDC" w:sz="4"/>
          <w:insideH w:val="single" w:color="DCDCDC" w:sz="4"/>
          <w:insideV w:val="none" w:sz="4"/>
        </w:tblBorders>
      </w:tblPr>
      <w:tblGrid>
        <w:gridCol w:w="4536"/>
        <w:gridCol w:w="4536"/>
      </w:tblGrid>
      <w:tr>
        <w:trPr/>
        <w:tc>
          <w:tcPr>
            <w:shd w:val="clear" w:fill="F0F0F0"/>
            <w:tcMar>
              <w:top w:w="60" w:type="dxa"/>
              <w:left w:w="110" w:type="dxa"/>
              <w:bottom w:w="60" w:type="dxa"/>
              <w:right w:w="110" w:type="dxa"/>
            </w:tcMar>
            <w:vAlign w:val="top"/>
          </w:tcPr>
          <w:p w14:paraId="00100408" w14:textId="00100409">
            <w:r>
              <w:rPr>
                <w:b/>
                <w:color w:val="34322D"/>
                <w:sz w:val="18"/>
              </w:rPr>
              <w:t xml:space="preserve">For and on behalf of Site Safety LLC (trading as Site Safety UAE)</w:t>
            </w:r>
          </w:p>
        </w:tc>
        <w:tc>
          <w:tcPr>
            <w:shd w:val="clear" w:fill="F0F0F0"/>
            <w:tcMar>
              <w:top w:w="60" w:type="dxa"/>
              <w:left w:w="110" w:type="dxa"/>
              <w:bottom w:w="60" w:type="dxa"/>
              <w:right w:w="110" w:type="dxa"/>
            </w:tcMar>
            <w:vAlign w:val="top"/>
          </w:tcPr>
          <w:p w14:paraId="0010040A" w14:textId="0010040B">
            <w:r>
              <w:rPr>
                <w:b/>
                <w:color w:val="34322D"/>
                <w:sz w:val="18"/>
              </w:rPr>
              <w:t xml:space="preserve">For and on behalf of [Customer legal name]</w:t>
            </w:r>
          </w:p>
        </w:tc>
      </w:tr>
      <w:tr>
        <w:trPr/>
        <w:tc>
          <w:tcPr>
            <w:tcMar>
              <w:top w:w="60" w:type="dxa"/>
              <w:left w:w="110" w:type="dxa"/>
              <w:bottom w:w="60" w:type="dxa"/>
              <w:right w:w="110" w:type="dxa"/>
            </w:tcMar>
            <w:vAlign w:val="top"/>
          </w:tcPr>
          <w:p w14:paraId="0010040C" w14:textId="0010040D">
            <w:r>
              <w:rPr>
                <w:sz w:val="20"/>
              </w:rPr>
              <w:t xml:space="preserve">Signature:</w:t>
              <w:br/>
              <w:br/>
            </w:r>
          </w:p>
        </w:tc>
        <w:tc>
          <w:tcPr>
            <w:tcMar>
              <w:top w:w="60" w:type="dxa"/>
              <w:left w:w="110" w:type="dxa"/>
              <w:bottom w:w="60" w:type="dxa"/>
              <w:right w:w="110" w:type="dxa"/>
            </w:tcMar>
            <w:vAlign w:val="top"/>
          </w:tcPr>
          <w:p w14:paraId="0010040E" w14:textId="0010040F">
            <w:r>
              <w:rPr>
                <w:sz w:val="20"/>
              </w:rPr>
              <w:t xml:space="preserve">Signature:</w:t>
              <w:br/>
              <w:br/>
            </w:r>
          </w:p>
        </w:tc>
      </w:tr>
      <w:tr>
        <w:trPr/>
        <w:tc>
          <w:tcPr>
            <w:tcMar>
              <w:top w:w="60" w:type="dxa"/>
              <w:left w:w="110" w:type="dxa"/>
              <w:bottom w:w="60" w:type="dxa"/>
              <w:right w:w="110" w:type="dxa"/>
            </w:tcMar>
            <w:vAlign w:val="top"/>
          </w:tcPr>
          <w:p w14:paraId="00100410" w14:textId="00100411">
            <w:r>
              <w:rPr>
                <w:sz w:val="20"/>
              </w:rPr>
              <w:t xml:space="preserve">Name: [________________________]</w:t>
            </w:r>
          </w:p>
        </w:tc>
        <w:tc>
          <w:tcPr>
            <w:tcMar>
              <w:top w:w="60" w:type="dxa"/>
              <w:left w:w="110" w:type="dxa"/>
              <w:bottom w:w="60" w:type="dxa"/>
              <w:right w:w="110" w:type="dxa"/>
            </w:tcMar>
            <w:vAlign w:val="top"/>
          </w:tcPr>
          <w:p w14:paraId="00100412" w14:textId="00100413">
            <w:r>
              <w:rPr>
                <w:sz w:val="20"/>
              </w:rPr>
              <w:t xml:space="preserve">Name: [________________________]</w:t>
            </w:r>
          </w:p>
        </w:tc>
      </w:tr>
      <w:tr>
        <w:trPr/>
        <w:tc>
          <w:tcPr>
            <w:tcMar>
              <w:top w:w="60" w:type="dxa"/>
              <w:left w:w="110" w:type="dxa"/>
              <w:bottom w:w="60" w:type="dxa"/>
              <w:right w:w="110" w:type="dxa"/>
            </w:tcMar>
            <w:vAlign w:val="top"/>
          </w:tcPr>
          <w:p w14:paraId="00100414" w14:textId="00100415">
            <w:r>
              <w:rPr>
                <w:sz w:val="20"/>
              </w:rPr>
              <w:t xml:space="preserve">Title: [________________________]</w:t>
            </w:r>
          </w:p>
        </w:tc>
        <w:tc>
          <w:tcPr>
            <w:tcMar>
              <w:top w:w="60" w:type="dxa"/>
              <w:left w:w="110" w:type="dxa"/>
              <w:bottom w:w="60" w:type="dxa"/>
              <w:right w:w="110" w:type="dxa"/>
            </w:tcMar>
            <w:vAlign w:val="top"/>
          </w:tcPr>
          <w:p w14:paraId="00100416" w14:textId="00100417">
            <w:r>
              <w:rPr>
                <w:sz w:val="20"/>
              </w:rPr>
              <w:t xml:space="preserve">Title: [________________________]</w:t>
            </w:r>
          </w:p>
        </w:tc>
      </w:tr>
      <w:tr>
        <w:trPr/>
        <w:tc>
          <w:tcPr>
            <w:tcMar>
              <w:top w:w="60" w:type="dxa"/>
              <w:left w:w="110" w:type="dxa"/>
              <w:bottom w:w="60" w:type="dxa"/>
              <w:right w:w="110" w:type="dxa"/>
            </w:tcMar>
            <w:vAlign w:val="top"/>
          </w:tcPr>
          <w:p w14:paraId="00100418" w14:textId="00100419">
            <w:r>
              <w:rPr>
                <w:sz w:val="20"/>
              </w:rPr>
              <w:t xml:space="preserve">Date: [________________________]</w:t>
            </w:r>
          </w:p>
        </w:tc>
        <w:tc>
          <w:tcPr>
            <w:tcMar>
              <w:top w:w="60" w:type="dxa"/>
              <w:left w:w="110" w:type="dxa"/>
              <w:bottom w:w="60" w:type="dxa"/>
              <w:right w:w="110" w:type="dxa"/>
            </w:tcMar>
            <w:vAlign w:val="top"/>
          </w:tcPr>
          <w:p w14:paraId="0010041A" w14:textId="0010041B">
            <w:r>
              <w:rPr>
                <w:sz w:val="20"/>
              </w:rPr>
              <w:t xml:space="preserve">Date: [________________________]</w:t>
            </w:r>
          </w:p>
        </w:tc>
      </w:tr>
      <w:tr>
        <w:trPr/>
        <w:tc>
          <w:tcPr>
            <w:tcMar>
              <w:top w:w="60" w:type="dxa"/>
              <w:left w:w="110" w:type="dxa"/>
              <w:bottom w:w="60" w:type="dxa"/>
              <w:right w:w="110" w:type="dxa"/>
            </w:tcMar>
            <w:vAlign w:val="top"/>
          </w:tcPr>
          <w:p w14:paraId="0010041C" w14:textId="0010041D">
            <w:r>
              <w:rPr>
                <w:sz w:val="20"/>
              </w:rPr>
              <w:t xml:space="preserve">Email: [________________________]</w:t>
            </w:r>
          </w:p>
        </w:tc>
        <w:tc>
          <w:tcPr>
            <w:tcMar>
              <w:top w:w="60" w:type="dxa"/>
              <w:left w:w="110" w:type="dxa"/>
              <w:bottom w:w="60" w:type="dxa"/>
              <w:right w:w="110" w:type="dxa"/>
            </w:tcMar>
            <w:vAlign w:val="top"/>
          </w:tcPr>
          <w:p w14:paraId="0010041E" w14:textId="0010041F">
            <w:r>
              <w:rPr>
                <w:sz w:val="20"/>
              </w:rPr>
              <w:t xml:space="preserve">Email: [________________________]</w:t>
            </w:r>
          </w:p>
        </w:tc>
      </w:tr>
    </w:tbl>
    <w:p w14:paraId="00100420" w14:textId="00100421">
      <w:pPr>
        <w:pStyle w:val="Heading1"/>
        <w:keepNext/>
        <w:keepLines/>
        <w:pageBreakBefore/>
        <w:spacing w:before="360" w:after="160"/>
      </w:pPr>
      <w:r>
        <w:rPr>
          <w:rFonts w:ascii="Calibri" w:hAnsi="Calibri" w:eastAsia="Calibri"/>
          <w:b/>
          <w:color w:val="005A4B"/>
          <w:sz w:val="30"/>
        </w:rPr>
        <w:t xml:space="preserve">Schedule A — Evaluation scope and licensed modules</w:t>
      </w:r>
    </w:p>
    <w:p w14:paraId="00100422" w14:textId="00100423">
      <w:pPr>
        <w:spacing w:after="200"/>
        <w:jc w:val="both"/>
      </w:pPr>
      <w:r>
        <w:rPr>
          <w:rFonts w:ascii="Calibri" w:hAnsi="Calibri" w:eastAsia="Calibri"/>
          <w:color w:val="34322D"/>
          <w:sz w:val="21"/>
        </w:rPr>
        <w:t xml:space="preserve">This schedule records what is included in the evaluation. Where an Order Form records a different scope, the Order Form prevails.</w:t>
      </w:r>
    </w:p>
    <w:tbl>
      <w:tblPr>
        <w:tblW w:w="5000" w:type="pct"/>
        <w:tblBorders>
          <w:top w:val="single" w:color="DCDCDC" w:sz="4"/>
          <w:left w:val="single" w:color="DCDCDC" w:sz="4"/>
          <w:bottom w:val="single" w:color="DCDCDC" w:sz="4"/>
          <w:right w:val="single" w:color="DCDCDC" w:sz="4"/>
          <w:insideH w:val="single" w:color="DCDCDC" w:sz="4"/>
          <w:insideV w:val="none" w:sz="4"/>
        </w:tblBorders>
      </w:tblPr>
      <w:tblGrid>
        <w:gridCol w:w="1700"/>
        <w:gridCol w:w="3300"/>
        <w:gridCol w:w="4072"/>
      </w:tblGrid>
      <w:tr>
        <w:trPr/>
        <w:tc>
          <w:tcPr>
            <w:shd w:val="clear" w:fill="F0F0F0"/>
            <w:tcMar>
              <w:top w:w="60" w:type="dxa"/>
              <w:left w:w="110" w:type="dxa"/>
              <w:bottom w:w="60" w:type="dxa"/>
              <w:right w:w="110" w:type="dxa"/>
            </w:tcMar>
            <w:vAlign w:val="top"/>
          </w:tcPr>
          <w:p w14:paraId="00100424" w14:textId="00100425">
            <w:r>
              <w:rPr>
                <w:b/>
                <w:color w:val="34322D"/>
                <w:sz w:val="18"/>
              </w:rPr>
              <w:t xml:space="preserve">Element</w:t>
            </w:r>
          </w:p>
        </w:tc>
        <w:tc>
          <w:tcPr>
            <w:shd w:val="clear" w:fill="F0F0F0"/>
            <w:tcMar>
              <w:top w:w="60" w:type="dxa"/>
              <w:left w:w="110" w:type="dxa"/>
              <w:bottom w:w="60" w:type="dxa"/>
              <w:right w:w="110" w:type="dxa"/>
            </w:tcMar>
            <w:vAlign w:val="top"/>
          </w:tcPr>
          <w:p w14:paraId="00100426" w14:textId="00100427">
            <w:r>
              <w:rPr>
                <w:b/>
                <w:color w:val="34322D"/>
                <w:sz w:val="18"/>
              </w:rPr>
              <w:t xml:space="preserve">Included in this evaluation</w:t>
            </w:r>
          </w:p>
        </w:tc>
        <w:tc>
          <w:tcPr>
            <w:shd w:val="clear" w:fill="F0F0F0"/>
            <w:tcMar>
              <w:top w:w="60" w:type="dxa"/>
              <w:left w:w="110" w:type="dxa"/>
              <w:bottom w:w="60" w:type="dxa"/>
              <w:right w:w="110" w:type="dxa"/>
            </w:tcMar>
            <w:vAlign w:val="top"/>
          </w:tcPr>
          <w:p w14:paraId="00100428" w14:textId="00100429">
            <w:r>
              <w:rPr>
                <w:b/>
                <w:color w:val="34322D"/>
                <w:sz w:val="18"/>
              </w:rPr>
              <w:t xml:space="preserve">Notes</w:t>
            </w:r>
          </w:p>
        </w:tc>
      </w:tr>
      <w:tr>
        <w:trPr/>
        <w:tc>
          <w:tcPr>
            <w:shd w:val="clear" w:fill="F7F7F7"/>
            <w:tcMar>
              <w:top w:w="60" w:type="dxa"/>
              <w:left w:w="110" w:type="dxa"/>
              <w:bottom w:w="60" w:type="dxa"/>
              <w:right w:w="110" w:type="dxa"/>
            </w:tcMar>
            <w:vAlign w:val="top"/>
          </w:tcPr>
          <w:p w14:paraId="0010042A" w14:textId="0010042B">
            <w:r>
              <w:rPr>
                <w:b w:val="false"/>
                <w:sz w:val="18"/>
              </w:rPr>
              <w:t xml:space="preserve">Evaluation Workspace</w:t>
            </w:r>
          </w:p>
        </w:tc>
        <w:tc>
          <w:tcPr>
            <w:tcMar>
              <w:top w:w="60" w:type="dxa"/>
              <w:left w:w="110" w:type="dxa"/>
              <w:bottom w:w="60" w:type="dxa"/>
              <w:right w:w="110" w:type="dxa"/>
            </w:tcMar>
            <w:vAlign w:val="top"/>
          </w:tcPr>
          <w:p w14:paraId="0010042C" w14:textId="0010042D">
            <w:r>
              <w:rPr>
                <w:sz w:val="18"/>
              </w:rPr>
              <w:t xml:space="preserve">One logically separated workspace for the Customer</w:t>
            </w:r>
          </w:p>
        </w:tc>
        <w:tc>
          <w:tcPr>
            <w:tcMar>
              <w:top w:w="60" w:type="dxa"/>
              <w:left w:w="110" w:type="dxa"/>
              <w:bottom w:w="60" w:type="dxa"/>
              <w:right w:w="110" w:type="dxa"/>
            </w:tcMar>
            <w:vAlign w:val="top"/>
          </w:tcPr>
          <w:p w14:paraId="0010042E" w14:textId="0010042F">
            <w:r>
              <w:rPr>
                <w:sz w:val="18"/>
              </w:rPr>
              <w:t xml:space="preserve">Company-email domain restriction may be enabled (clause 4.2)</w:t>
            </w:r>
          </w:p>
        </w:tc>
      </w:tr>
      <w:tr>
        <w:trPr/>
        <w:tc>
          <w:tcPr>
            <w:shd w:val="clear" w:fill="F7F7F7"/>
            <w:tcMar>
              <w:top w:w="60" w:type="dxa"/>
              <w:left w:w="110" w:type="dxa"/>
              <w:bottom w:w="60" w:type="dxa"/>
              <w:right w:w="110" w:type="dxa"/>
            </w:tcMar>
            <w:vAlign w:val="top"/>
          </w:tcPr>
          <w:p w14:paraId="00100430" w14:textId="00100431">
            <w:r>
              <w:rPr>
                <w:b w:val="false"/>
                <w:sz w:val="18"/>
              </w:rPr>
              <w:t xml:space="preserve">Active project sites</w:t>
            </w:r>
          </w:p>
        </w:tc>
        <w:tc>
          <w:tcPr>
            <w:tcMar>
              <w:top w:w="60" w:type="dxa"/>
              <w:left w:w="110" w:type="dxa"/>
              <w:bottom w:w="60" w:type="dxa"/>
              <w:right w:w="110" w:type="dxa"/>
            </w:tcMar>
            <w:vAlign w:val="top"/>
          </w:tcPr>
          <w:p w14:paraId="00100432" w14:textId="00100433">
            <w:r>
              <w:rPr>
                <w:sz w:val="18"/>
              </w:rPr>
              <w:t xml:space="preserve">[number] project sites</w:t>
            </w:r>
          </w:p>
        </w:tc>
        <w:tc>
          <w:tcPr>
            <w:tcMar>
              <w:top w:w="60" w:type="dxa"/>
              <w:left w:w="110" w:type="dxa"/>
              <w:bottom w:w="60" w:type="dxa"/>
              <w:right w:w="110" w:type="dxa"/>
            </w:tcMar>
            <w:vAlign w:val="top"/>
          </w:tcPr>
          <w:p w14:paraId="00100434" w14:textId="00100435">
            <w:r>
              <w:rPr>
                <w:sz w:val="18"/>
              </w:rPr>
              <w:t xml:space="preserve">Enterprise supports unlimited sites; the evaluation is scoped to the sites recorded in the Agreement particulars</w:t>
            </w:r>
          </w:p>
        </w:tc>
      </w:tr>
      <w:tr>
        <w:trPr/>
        <w:tc>
          <w:tcPr>
            <w:shd w:val="clear" w:fill="F7F7F7"/>
            <w:tcMar>
              <w:top w:w="60" w:type="dxa"/>
              <w:left w:w="110" w:type="dxa"/>
              <w:bottom w:w="60" w:type="dxa"/>
              <w:right w:w="110" w:type="dxa"/>
            </w:tcMar>
            <w:vAlign w:val="top"/>
          </w:tcPr>
          <w:p w14:paraId="00100436" w14:textId="00100437">
            <w:r>
              <w:rPr>
                <w:b w:val="false"/>
                <w:sz w:val="18"/>
              </w:rPr>
              <w:t xml:space="preserve">Named users</w:t>
            </w:r>
          </w:p>
        </w:tc>
        <w:tc>
          <w:tcPr>
            <w:tcMar>
              <w:top w:w="60" w:type="dxa"/>
              <w:left w:w="110" w:type="dxa"/>
              <w:bottom w:w="60" w:type="dxa"/>
              <w:right w:w="110" w:type="dxa"/>
            </w:tcMar>
            <w:vAlign w:val="top"/>
          </w:tcPr>
          <w:p w14:paraId="00100438" w14:textId="00100439">
            <w:r>
              <w:rPr>
                <w:sz w:val="18"/>
              </w:rPr>
              <w:t xml:space="preserve">[number] named users</w:t>
            </w:r>
          </w:p>
        </w:tc>
        <w:tc>
          <w:tcPr>
            <w:tcMar>
              <w:top w:w="60" w:type="dxa"/>
              <w:left w:w="110" w:type="dxa"/>
              <w:bottom w:w="60" w:type="dxa"/>
              <w:right w:w="110" w:type="dxa"/>
            </w:tcMar>
            <w:vAlign w:val="top"/>
          </w:tcPr>
          <w:p w14:paraId="0010043A" w14:textId="0010043B">
            <w:r>
              <w:rPr>
                <w:sz w:val="18"/>
              </w:rPr>
              <w:t xml:space="preserve">Access is per named individual; credentials must not be shared (clause 3.3)</w:t>
            </w:r>
          </w:p>
        </w:tc>
      </w:tr>
      <w:tr>
        <w:trPr/>
        <w:tc>
          <w:tcPr>
            <w:shd w:val="clear" w:fill="F7F7F7"/>
            <w:tcMar>
              <w:top w:w="60" w:type="dxa"/>
              <w:left w:w="110" w:type="dxa"/>
              <w:bottom w:w="60" w:type="dxa"/>
              <w:right w:w="110" w:type="dxa"/>
            </w:tcMar>
            <w:vAlign w:val="top"/>
          </w:tcPr>
          <w:p w14:paraId="0010043C" w14:textId="0010043D">
            <w:r>
              <w:rPr>
                <w:b w:val="false"/>
                <w:sz w:val="18"/>
              </w:rPr>
              <w:t xml:space="preserve">Roles</w:t>
            </w:r>
          </w:p>
        </w:tc>
        <w:tc>
          <w:tcPr>
            <w:tcMar>
              <w:top w:w="60" w:type="dxa"/>
              <w:left w:w="110" w:type="dxa"/>
              <w:bottom w:w="60" w:type="dxa"/>
              <w:right w:w="110" w:type="dxa"/>
            </w:tcMar>
            <w:vAlign w:val="top"/>
          </w:tcPr>
          <w:p w14:paraId="0010043E" w14:textId="0010043F">
            <w:r>
              <w:rPr>
                <w:sz w:val="18"/>
              </w:rPr>
              <w:t xml:space="preserve">Administrator, Manager, Supervisor, Viewer</w:t>
            </w:r>
          </w:p>
        </w:tc>
        <w:tc>
          <w:tcPr>
            <w:tcMar>
              <w:top w:w="60" w:type="dxa"/>
              <w:left w:w="110" w:type="dxa"/>
              <w:bottom w:w="60" w:type="dxa"/>
              <w:right w:w="110" w:type="dxa"/>
            </w:tcMar>
            <w:vAlign w:val="top"/>
          </w:tcPr>
          <w:p w14:paraId="00100440" w14:textId="00100441">
            <w:r>
              <w:rPr>
                <w:sz w:val="18"/>
              </w:rPr>
              <w:t xml:space="preserve">Role-based permissions enforced on the server (clause 4.3)</w:t>
            </w:r>
          </w:p>
        </w:tc>
      </w:tr>
      <w:tr>
        <w:trPr/>
        <w:tc>
          <w:tcPr>
            <w:shd w:val="clear" w:fill="F7F7F7"/>
            <w:tcMar>
              <w:top w:w="60" w:type="dxa"/>
              <w:left w:w="110" w:type="dxa"/>
              <w:bottom w:w="60" w:type="dxa"/>
              <w:right w:w="110" w:type="dxa"/>
            </w:tcMar>
            <w:vAlign w:val="top"/>
          </w:tcPr>
          <w:p w14:paraId="00100442" w14:textId="00100443">
            <w:r>
              <w:rPr>
                <w:b w:val="false"/>
                <w:sz w:val="18"/>
              </w:rPr>
              <w:t xml:space="preserve">Single sign-on</w:t>
            </w:r>
          </w:p>
        </w:tc>
        <w:tc>
          <w:tcPr>
            <w:tcMar>
              <w:top w:w="60" w:type="dxa"/>
              <w:left w:w="110" w:type="dxa"/>
              <w:bottom w:w="60" w:type="dxa"/>
              <w:right w:w="110" w:type="dxa"/>
            </w:tcMar>
            <w:vAlign w:val="top"/>
          </w:tcPr>
          <w:p w14:paraId="00100444" w14:textId="00100445">
            <w:r>
              <w:rPr>
                <w:sz w:val="18"/>
              </w:rPr>
              <w:t xml:space="preserve">SAML SSO available on request</w:t>
            </w:r>
          </w:p>
        </w:tc>
        <w:tc>
          <w:tcPr>
            <w:tcMar>
              <w:top w:w="60" w:type="dxa"/>
              <w:left w:w="110" w:type="dxa"/>
              <w:bottom w:w="60" w:type="dxa"/>
              <w:right w:w="110" w:type="dxa"/>
            </w:tcMar>
            <w:vAlign w:val="top"/>
          </w:tcPr>
          <w:p w14:paraId="00100446" w14:textId="00100447">
            <w:r>
              <w:rPr>
                <w:sz w:val="18"/>
              </w:rPr>
              <w:t xml:space="preserve">Automated SCIM provisioning is not currently offered (clause 4.4)</w:t>
            </w:r>
          </w:p>
        </w:tc>
      </w:tr>
      <w:tr>
        <w:trPr/>
        <w:tc>
          <w:tcPr>
            <w:shd w:val="clear" w:fill="F7F7F7"/>
            <w:tcMar>
              <w:top w:w="60" w:type="dxa"/>
              <w:left w:w="110" w:type="dxa"/>
              <w:bottom w:w="60" w:type="dxa"/>
              <w:right w:w="110" w:type="dxa"/>
            </w:tcMar>
            <w:vAlign w:val="top"/>
          </w:tcPr>
          <w:p w14:paraId="00100448" w14:textId="00100449">
            <w:r>
              <w:rPr>
                <w:b w:val="false"/>
                <w:sz w:val="18"/>
              </w:rPr>
              <w:t xml:space="preserve">AI assist allowance</w:t>
            </w:r>
          </w:p>
        </w:tc>
        <w:tc>
          <w:tcPr>
            <w:tcMar>
              <w:top w:w="60" w:type="dxa"/>
              <w:left w:w="110" w:type="dxa"/>
              <w:bottom w:w="60" w:type="dxa"/>
              <w:right w:w="110" w:type="dxa"/>
            </w:tcMar>
            <w:vAlign w:val="top"/>
          </w:tcPr>
          <w:p w14:paraId="0010044A" w14:textId="0010044B">
            <w:r>
              <w:rPr>
                <w:sz w:val="18"/>
              </w:rPr>
              <w:t xml:space="preserve">[number] AI Actions per calendar month</w:t>
            </w:r>
          </w:p>
        </w:tc>
        <w:tc>
          <w:tcPr>
            <w:tcMar>
              <w:top w:w="60" w:type="dxa"/>
              <w:left w:w="110" w:type="dxa"/>
              <w:bottom w:w="60" w:type="dxa"/>
              <w:right w:w="110" w:type="dxa"/>
            </w:tcMar>
            <w:vAlign w:val="top"/>
          </w:tcPr>
          <w:p w14:paraId="0010044C" w14:textId="0010044D">
            <w:r>
              <w:rPr>
                <w:sz w:val="18"/>
              </w:rPr>
              <w:t xml:space="preserve">Shared across all AI-Assisted Features; AI may be disabled per workspace (clause 12.1)</w:t>
            </w:r>
          </w:p>
        </w:tc>
      </w:tr>
      <w:tr>
        <w:trPr/>
        <w:tc>
          <w:tcPr>
            <w:shd w:val="clear" w:fill="F7F7F7"/>
            <w:tcMar>
              <w:top w:w="60" w:type="dxa"/>
              <w:left w:w="110" w:type="dxa"/>
              <w:bottom w:w="60" w:type="dxa"/>
              <w:right w:w="110" w:type="dxa"/>
            </w:tcMar>
            <w:vAlign w:val="top"/>
          </w:tcPr>
          <w:p w14:paraId="0010044E" w14:textId="0010044F">
            <w:r>
              <w:rPr>
                <w:b w:val="false"/>
                <w:sz w:val="18"/>
              </w:rPr>
              <w:t xml:space="preserve">Storage</w:t>
            </w:r>
          </w:p>
        </w:tc>
        <w:tc>
          <w:tcPr>
            <w:tcMar>
              <w:top w:w="60" w:type="dxa"/>
              <w:left w:w="110" w:type="dxa"/>
              <w:bottom w:w="60" w:type="dxa"/>
              <w:right w:w="110" w:type="dxa"/>
            </w:tcMar>
            <w:vAlign w:val="top"/>
          </w:tcPr>
          <w:p w14:paraId="00100450" w14:textId="00100451">
            <w:r>
              <w:rPr>
                <w:sz w:val="18"/>
              </w:rPr>
              <w:t xml:space="preserve">[50 GB / 1 TB / other]</w:t>
            </w:r>
          </w:p>
        </w:tc>
        <w:tc>
          <w:tcPr>
            <w:tcMar>
              <w:top w:w="60" w:type="dxa"/>
              <w:left w:w="110" w:type="dxa"/>
              <w:bottom w:w="60" w:type="dxa"/>
              <w:right w:w="110" w:type="dxa"/>
            </w:tcMar>
            <w:vAlign w:val="top"/>
          </w:tcPr>
          <w:p w14:paraId="00100452" w14:textId="00100453">
            <w:r>
              <w:rPr>
                <w:sz w:val="18"/>
              </w:rPr>
              <w:t xml:space="preserve">Additional storage may be purchased in blocks on a paid subscription</w:t>
            </w:r>
          </w:p>
        </w:tc>
      </w:tr>
      <w:tr>
        <w:trPr/>
        <w:tc>
          <w:tcPr>
            <w:shd w:val="clear" w:fill="F7F7F7"/>
            <w:tcMar>
              <w:top w:w="60" w:type="dxa"/>
              <w:left w:w="110" w:type="dxa"/>
              <w:bottom w:w="60" w:type="dxa"/>
              <w:right w:w="110" w:type="dxa"/>
            </w:tcMar>
            <w:vAlign w:val="top"/>
          </w:tcPr>
          <w:p w14:paraId="00100454" w14:textId="00100455">
            <w:r>
              <w:rPr>
                <w:b w:val="false"/>
                <w:sz w:val="18"/>
              </w:rPr>
              <w:t xml:space="preserve">Data region</w:t>
            </w:r>
          </w:p>
        </w:tc>
        <w:tc>
          <w:tcPr>
            <w:tcMar>
              <w:top w:w="60" w:type="dxa"/>
              <w:left w:w="110" w:type="dxa"/>
              <w:bottom w:w="60" w:type="dxa"/>
              <w:right w:w="110" w:type="dxa"/>
            </w:tcMar>
            <w:vAlign w:val="top"/>
          </w:tcPr>
          <w:p w14:paraId="00100456" w14:textId="00100457">
            <w:r>
              <w:rPr>
                <w:sz w:val="18"/>
              </w:rPr>
              <w:t xml:space="preserve">[primary region]</w:t>
            </w:r>
          </w:p>
        </w:tc>
        <w:tc>
          <w:tcPr>
            <w:tcMar>
              <w:top w:w="60" w:type="dxa"/>
              <w:left w:w="110" w:type="dxa"/>
              <w:bottom w:w="60" w:type="dxa"/>
              <w:right w:w="110" w:type="dxa"/>
            </w:tcMar>
            <w:vAlign w:val="top"/>
          </w:tcPr>
          <w:p w14:paraId="00100458" w14:textId="00100459">
            <w:r>
              <w:rPr>
                <w:sz w:val="18"/>
              </w:rPr>
              <w:t xml:space="preserve">Confirmed in writing on request (clause 11.9)</w:t>
            </w:r>
          </w:p>
        </w:tc>
      </w:tr>
      <w:tr>
        <w:trPr/>
        <w:tc>
          <w:tcPr>
            <w:shd w:val="clear" w:fill="F7F7F7"/>
            <w:tcMar>
              <w:top w:w="60" w:type="dxa"/>
              <w:left w:w="110" w:type="dxa"/>
              <w:bottom w:w="60" w:type="dxa"/>
              <w:right w:w="110" w:type="dxa"/>
            </w:tcMar>
            <w:vAlign w:val="top"/>
          </w:tcPr>
          <w:p w14:paraId="0010045A" w14:textId="0010045B">
            <w:r>
              <w:rPr>
                <w:b w:val="false"/>
                <w:sz w:val="18"/>
              </w:rPr>
              <w:t xml:space="preserve">Support tier</w:t>
            </w:r>
          </w:p>
        </w:tc>
        <w:tc>
          <w:tcPr>
            <w:tcMar>
              <w:top w:w="60" w:type="dxa"/>
              <w:left w:w="110" w:type="dxa"/>
              <w:bottom w:w="60" w:type="dxa"/>
              <w:right w:w="110" w:type="dxa"/>
            </w:tcMar>
            <w:vAlign w:val="top"/>
          </w:tcPr>
          <w:p w14:paraId="0010045C" w14:textId="0010045D">
            <w:r>
              <w:rPr>
                <w:sz w:val="18"/>
              </w:rPr>
              <w:t xml:space="preserve">Enterprise — named account contact and priority escalation</w:t>
            </w:r>
          </w:p>
        </w:tc>
        <w:tc>
          <w:tcPr>
            <w:tcMar>
              <w:top w:w="60" w:type="dxa"/>
              <w:left w:w="110" w:type="dxa"/>
              <w:bottom w:w="60" w:type="dxa"/>
              <w:right w:w="110" w:type="dxa"/>
            </w:tcMar>
            <w:vAlign w:val="top"/>
          </w:tcPr>
          <w:p w14:paraId="0010045E" w14:textId="0010045F">
            <w:r>
              <w:rPr>
                <w:sz w:val="18"/>
              </w:rPr>
              <w:t xml:space="preserve">See Schedule C</w:t>
            </w:r>
          </w:p>
        </w:tc>
      </w:tr>
      <w:tr>
        <w:trPr/>
        <w:tc>
          <w:tcPr>
            <w:shd w:val="clear" w:fill="F7F7F7"/>
            <w:tcMar>
              <w:top w:w="60" w:type="dxa"/>
              <w:left w:w="110" w:type="dxa"/>
              <w:bottom w:w="60" w:type="dxa"/>
              <w:right w:w="110" w:type="dxa"/>
            </w:tcMar>
            <w:vAlign w:val="top"/>
          </w:tcPr>
          <w:p w14:paraId="00100460" w14:textId="00100461">
            <w:r>
              <w:rPr>
                <w:b w:val="false"/>
                <w:sz w:val="18"/>
              </w:rPr>
              <w:t xml:space="preserve">Availability target</w:t>
            </w:r>
          </w:p>
        </w:tc>
        <w:tc>
          <w:tcPr>
            <w:tcMar>
              <w:top w:w="60" w:type="dxa"/>
              <w:left w:w="110" w:type="dxa"/>
              <w:bottom w:w="60" w:type="dxa"/>
              <w:right w:w="110" w:type="dxa"/>
            </w:tcMar>
            <w:vAlign w:val="top"/>
          </w:tcPr>
          <w:p w14:paraId="00100462" w14:textId="00100463">
            <w:r>
              <w:rPr>
                <w:sz w:val="18"/>
              </w:rPr>
              <w:t xml:space="preserve">99.9% monthly Uptime target Percentage</w:t>
            </w:r>
          </w:p>
        </w:tc>
        <w:tc>
          <w:tcPr>
            <w:tcMar>
              <w:top w:w="60" w:type="dxa"/>
              <w:left w:w="110" w:type="dxa"/>
              <w:bottom w:w="60" w:type="dxa"/>
              <w:right w:w="110" w:type="dxa"/>
            </w:tcMar>
            <w:vAlign w:val="top"/>
          </w:tcPr>
          <w:p w14:paraId="00100464" w14:textId="00100465">
            <w:r>
              <w:rPr>
                <w:sz w:val="18"/>
              </w:rPr>
              <w:t xml:space="preserve">See Schedule B</w:t>
            </w:r>
          </w:p>
        </w:tc>
      </w:tr>
      <w:tr>
        <w:trPr/>
        <w:tc>
          <w:tcPr>
            <w:shd w:val="clear" w:fill="F7F7F7"/>
            <w:tcMar>
              <w:top w:w="60" w:type="dxa"/>
              <w:left w:w="110" w:type="dxa"/>
              <w:bottom w:w="60" w:type="dxa"/>
              <w:right w:w="110" w:type="dxa"/>
            </w:tcMar>
            <w:vAlign w:val="top"/>
          </w:tcPr>
          <w:p w14:paraId="00100466" w14:textId="00100467">
            <w:r>
              <w:rPr>
                <w:b w:val="false"/>
                <w:sz w:val="18"/>
              </w:rPr>
              <w:t xml:space="preserve">Recovery objectives</w:t>
            </w:r>
          </w:p>
        </w:tc>
        <w:tc>
          <w:tcPr>
            <w:tcMar>
              <w:top w:w="60" w:type="dxa"/>
              <w:left w:w="110" w:type="dxa"/>
              <w:bottom w:w="60" w:type="dxa"/>
              <w:right w:w="110" w:type="dxa"/>
            </w:tcMar>
            <w:vAlign w:val="top"/>
          </w:tcPr>
          <w:p w14:paraId="00100468" w14:textId="00100469">
            <w:r>
              <w:rPr>
                <w:sz w:val="18"/>
              </w:rPr>
              <w:t xml:space="preserve">As recorded in the Order Form</w:t>
            </w:r>
          </w:p>
        </w:tc>
        <w:tc>
          <w:tcPr>
            <w:tcMar>
              <w:top w:w="60" w:type="dxa"/>
              <w:left w:w="110" w:type="dxa"/>
              <w:bottom w:w="60" w:type="dxa"/>
              <w:right w:w="110" w:type="dxa"/>
            </w:tcMar>
            <w:vAlign w:val="top"/>
          </w:tcPr>
          <w:p w14:paraId="0010046A" w14:textId="0010046B">
            <w:r>
              <w:rPr>
                <w:sz w:val="18"/>
              </w:rPr>
              <w:t xml:space="preserve">No universal RTO or RPO is published (clause 9.2)</w:t>
            </w:r>
          </w:p>
        </w:tc>
      </w:tr>
    </w:tbl>
    <w:p w14:paraId="0010046C" w14:textId="0010046D">
      <w:pPr>
        <w:keepNext/>
        <w:spacing w:before="480" w:after="160"/>
        <w:jc w:val="left"/>
      </w:pPr>
      <w:r>
        <w:rPr>
          <w:rFonts w:ascii="Calibri" w:hAnsi="Calibri" w:eastAsia="Calibri"/>
          <w:b/>
          <w:color w:val="005A4B"/>
          <w:sz w:val="27"/>
        </w:rPr>
        <w:t xml:space="preserve">Licensed modules</w:t>
      </w:r>
    </w:p>
    <w:tbl>
      <w:tblPr>
        <w:tblW w:w="5000" w:type="pct"/>
        <w:tblBorders>
          <w:top w:val="single" w:color="DCDCDC" w:sz="4"/>
          <w:left w:val="single" w:color="DCDCDC" w:sz="4"/>
          <w:bottom w:val="single" w:color="DCDCDC" w:sz="4"/>
          <w:right w:val="single" w:color="DCDCDC" w:sz="4"/>
          <w:insideH w:val="single" w:color="DCDCDC" w:sz="4"/>
          <w:insideV w:val="none" w:sz="4"/>
        </w:tblBorders>
      </w:tblPr>
      <w:tblGrid>
        <w:gridCol w:w="2400"/>
        <w:gridCol w:w="6672"/>
      </w:tblGrid>
      <w:tr>
        <w:trPr/>
        <w:tc>
          <w:tcPr>
            <w:shd w:val="clear" w:fill="F0F0F0"/>
            <w:tcMar>
              <w:top w:w="60" w:type="dxa"/>
              <w:left w:w="110" w:type="dxa"/>
              <w:bottom w:w="60" w:type="dxa"/>
              <w:right w:w="110" w:type="dxa"/>
            </w:tcMar>
            <w:vAlign w:val="top"/>
          </w:tcPr>
          <w:p w14:paraId="0010046E" w14:textId="0010046F">
            <w:r>
              <w:rPr>
                <w:b/>
                <w:color w:val="34322D"/>
                <w:sz w:val="18"/>
              </w:rPr>
              <w:t xml:space="preserve">Module</w:t>
            </w:r>
          </w:p>
        </w:tc>
        <w:tc>
          <w:tcPr>
            <w:shd w:val="clear" w:fill="F0F0F0"/>
            <w:tcMar>
              <w:top w:w="60" w:type="dxa"/>
              <w:left w:w="110" w:type="dxa"/>
              <w:bottom w:w="60" w:type="dxa"/>
              <w:right w:w="110" w:type="dxa"/>
            </w:tcMar>
            <w:vAlign w:val="top"/>
          </w:tcPr>
          <w:p w14:paraId="00100470" w14:textId="00100471">
            <w:r>
              <w:rPr>
                <w:b/>
                <w:color w:val="34322D"/>
                <w:sz w:val="18"/>
              </w:rPr>
              <w:t xml:space="preserve">Workflows included</w:t>
            </w:r>
          </w:p>
        </w:tc>
      </w:tr>
      <w:tr>
        <w:trPr/>
        <w:tc>
          <w:tcPr>
            <w:shd w:val="clear" w:fill="F7F7F7"/>
            <w:tcMar>
              <w:top w:w="60" w:type="dxa"/>
              <w:left w:w="110" w:type="dxa"/>
              <w:bottom w:w="60" w:type="dxa"/>
              <w:right w:w="110" w:type="dxa"/>
            </w:tcMar>
            <w:vAlign w:val="top"/>
          </w:tcPr>
          <w:p w14:paraId="00100472" w14:textId="00100473">
            <w:r>
              <w:rPr>
                <w:b w:val="false"/>
                <w:sz w:val="18"/>
              </w:rPr>
              <w:t xml:space="preserve">Permits and high-risk work</w:t>
            </w:r>
          </w:p>
        </w:tc>
        <w:tc>
          <w:tcPr>
            <w:tcMar>
              <w:top w:w="60" w:type="dxa"/>
              <w:left w:w="110" w:type="dxa"/>
              <w:bottom w:w="60" w:type="dxa"/>
              <w:right w:w="110" w:type="dxa"/>
            </w:tcMar>
            <w:vAlign w:val="top"/>
          </w:tcPr>
          <w:p w14:paraId="00100474" w14:textId="00100475">
            <w:r>
              <w:rPr>
                <w:sz w:val="18"/>
              </w:rPr>
              <w:t xml:space="preserve">Permit-to-work workflows, hot work, confined space, LOTO and SIMOPS permits, digital signature, hazard libraries, conflict detection, closeout QA and high-risk permit alerting.</w:t>
            </w:r>
          </w:p>
        </w:tc>
      </w:tr>
      <w:tr>
        <w:trPr/>
        <w:tc>
          <w:tcPr>
            <w:shd w:val="clear" w:fill="F7F7F7"/>
            <w:tcMar>
              <w:top w:w="60" w:type="dxa"/>
              <w:left w:w="110" w:type="dxa"/>
              <w:bottom w:w="60" w:type="dxa"/>
              <w:right w:w="110" w:type="dxa"/>
            </w:tcMar>
            <w:vAlign w:val="top"/>
          </w:tcPr>
          <w:p w14:paraId="00100476" w14:textId="00100477">
            <w:r>
              <w:rPr>
                <w:b w:val="false"/>
                <w:sz w:val="18"/>
              </w:rPr>
              <w:t xml:space="preserve">Inspections, incidents and observations</w:t>
            </w:r>
          </w:p>
        </w:tc>
        <w:tc>
          <w:tcPr>
            <w:tcMar>
              <w:top w:w="60" w:type="dxa"/>
              <w:left w:w="110" w:type="dxa"/>
              <w:bottom w:w="60" w:type="dxa"/>
              <w:right w:w="110" w:type="dxa"/>
            </w:tcMar>
            <w:vAlign w:val="top"/>
          </w:tcPr>
          <w:p w14:paraId="00100478" w14:textId="00100479">
            <w:r>
              <w:rPr>
                <w:sz w:val="18"/>
              </w:rPr>
              <w:t xml:space="preserve">Daily inspections, near-miss and observation capture with photo evidence, corrective and preventive action, lessons learned and management of change.</w:t>
            </w:r>
          </w:p>
        </w:tc>
      </w:tr>
      <w:tr>
        <w:trPr/>
        <w:tc>
          <w:tcPr>
            <w:shd w:val="clear" w:fill="F7F7F7"/>
            <w:tcMar>
              <w:top w:w="60" w:type="dxa"/>
              <w:left w:w="110" w:type="dxa"/>
              <w:bottom w:w="60" w:type="dxa"/>
              <w:right w:w="110" w:type="dxa"/>
            </w:tcMar>
            <w:vAlign w:val="top"/>
          </w:tcPr>
          <w:p w14:paraId="0010047A" w14:textId="0010047B">
            <w:r>
              <w:rPr>
                <w:b w:val="false"/>
                <w:sz w:val="18"/>
              </w:rPr>
              <w:t xml:space="preserve">Controlled documents and MSRA/RAMS</w:t>
            </w:r>
          </w:p>
        </w:tc>
        <w:tc>
          <w:tcPr>
            <w:tcMar>
              <w:top w:w="60" w:type="dxa"/>
              <w:left w:w="110" w:type="dxa"/>
              <w:bottom w:w="60" w:type="dxa"/>
              <w:right w:w="110" w:type="dxa"/>
            </w:tcMar>
            <w:vAlign w:val="top"/>
          </w:tcPr>
          <w:p w14:paraId="0010047C" w14:textId="0010047D">
            <w:r>
              <w:rPr>
                <w:sz w:val="18"/>
              </w:rPr>
              <w:t xml:space="preserve">Versioned method statements, risk assessments, certificates, policies and inductions, with expiry tracking, acknowledgements and a full audit trail.</w:t>
            </w:r>
          </w:p>
        </w:tc>
      </w:tr>
      <w:tr>
        <w:trPr/>
        <w:tc>
          <w:tcPr>
            <w:shd w:val="clear" w:fill="F7F7F7"/>
            <w:tcMar>
              <w:top w:w="60" w:type="dxa"/>
              <w:left w:w="110" w:type="dxa"/>
              <w:bottom w:w="60" w:type="dxa"/>
              <w:right w:w="110" w:type="dxa"/>
            </w:tcMar>
            <w:vAlign w:val="top"/>
          </w:tcPr>
          <w:p w14:paraId="0010047E" w14:textId="0010047F">
            <w:r>
              <w:rPr>
                <w:b w:val="false"/>
                <w:sz w:val="18"/>
              </w:rPr>
              <w:t xml:space="preserve">People, training and subcontractors</w:t>
            </w:r>
          </w:p>
        </w:tc>
        <w:tc>
          <w:tcPr>
            <w:tcMar>
              <w:top w:w="60" w:type="dxa"/>
              <w:left w:w="110" w:type="dxa"/>
              <w:bottom w:w="60" w:type="dxa"/>
              <w:right w:w="110" w:type="dxa"/>
            </w:tcMar>
            <w:vAlign w:val="top"/>
          </w:tcPr>
          <w:p w14:paraId="00100480" w14:textId="00100481">
            <w:r>
              <w:rPr>
                <w:sz w:val="18"/>
              </w:rPr>
              <w:t xml:space="preserve">Personnel register, training matrix, gate QR passes, induction records and subcontractor compliance status.</w:t>
            </w:r>
          </w:p>
        </w:tc>
      </w:tr>
      <w:tr>
        <w:trPr/>
        <w:tc>
          <w:tcPr>
            <w:shd w:val="clear" w:fill="F7F7F7"/>
            <w:tcMar>
              <w:top w:w="60" w:type="dxa"/>
              <w:left w:w="110" w:type="dxa"/>
              <w:bottom w:w="60" w:type="dxa"/>
              <w:right w:w="110" w:type="dxa"/>
            </w:tcMar>
            <w:vAlign w:val="top"/>
          </w:tcPr>
          <w:p w14:paraId="00100482" w14:textId="00100483">
            <w:r>
              <w:rPr>
                <w:b w:val="false"/>
                <w:sz w:val="18"/>
              </w:rPr>
              <w:t xml:space="preserve">Reporting and audit evidence</w:t>
            </w:r>
          </w:p>
        </w:tc>
        <w:tc>
          <w:tcPr>
            <w:tcMar>
              <w:top w:w="60" w:type="dxa"/>
              <w:left w:w="110" w:type="dxa"/>
              <w:bottom w:w="60" w:type="dxa"/>
              <w:right w:w="110" w:type="dxa"/>
            </w:tcMar>
            <w:vAlign w:val="top"/>
          </w:tcPr>
          <w:p w14:paraId="00100484" w14:textId="00100485">
            <w:r>
              <w:rPr>
                <w:sz w:val="18"/>
              </w:rPr>
              <w:t xml:space="preserve">Leading and lagging KPIs including TRIR, management review packs, and one-click evidence packs aligned to ISO 45001.</w:t>
            </w:r>
          </w:p>
        </w:tc>
      </w:tr>
      <w:tr>
        <w:trPr/>
        <w:tc>
          <w:tcPr>
            <w:shd w:val="clear" w:fill="F7F7F7"/>
            <w:tcMar>
              <w:top w:w="60" w:type="dxa"/>
              <w:left w:w="110" w:type="dxa"/>
              <w:bottom w:w="60" w:type="dxa"/>
              <w:right w:w="110" w:type="dxa"/>
            </w:tcMar>
            <w:vAlign w:val="top"/>
          </w:tcPr>
          <w:p w14:paraId="00100486" w14:textId="00100487">
            <w:r>
              <w:rPr>
                <w:b w:val="false"/>
                <w:sz w:val="18"/>
              </w:rPr>
              <w:t xml:space="preserve">Awareness library</w:t>
            </w:r>
          </w:p>
        </w:tc>
        <w:tc>
          <w:tcPr>
            <w:tcMar>
              <w:top w:w="60" w:type="dxa"/>
              <w:left w:w="110" w:type="dxa"/>
              <w:bottom w:w="60" w:type="dxa"/>
              <w:right w:w="110" w:type="dxa"/>
            </w:tcMar>
            <w:vAlign w:val="top"/>
          </w:tcPr>
          <w:p w14:paraId="00100488" w14:textId="00100489">
            <w:r>
              <w:rPr>
                <w:sz w:val="18"/>
              </w:rPr>
              <w:t xml:space="preserve">Bilingual awareness modules, toolbox talks and induction material.</w:t>
            </w:r>
          </w:p>
        </w:tc>
      </w:tr>
      <w:tr>
        <w:trPr/>
        <w:tc>
          <w:tcPr>
            <w:shd w:val="clear" w:fill="F7F7F7"/>
            <w:tcMar>
              <w:top w:w="60" w:type="dxa"/>
              <w:left w:w="110" w:type="dxa"/>
              <w:bottom w:w="60" w:type="dxa"/>
              <w:right w:w="110" w:type="dxa"/>
            </w:tcMar>
            <w:vAlign w:val="top"/>
          </w:tcPr>
          <w:p w14:paraId="0010048A" w14:textId="0010048B">
            <w:r>
              <w:rPr>
                <w:b w:val="false"/>
                <w:sz w:val="18"/>
              </w:rPr>
              <w:t xml:space="preserve">UAE authority report templates</w:t>
            </w:r>
          </w:p>
        </w:tc>
        <w:tc>
          <w:tcPr>
            <w:tcMar>
              <w:top w:w="60" w:type="dxa"/>
              <w:left w:w="110" w:type="dxa"/>
              <w:bottom w:w="60" w:type="dxa"/>
              <w:right w:w="110" w:type="dxa"/>
            </w:tcMar>
            <w:vAlign w:val="top"/>
          </w:tcPr>
          <w:p w14:paraId="0010048C" w14:textId="0010048D">
            <w:r>
              <w:rPr>
                <w:sz w:val="18"/>
              </w:rPr>
              <w:t xml:space="preserve">Report templates aligned to ADOSH-SF (formerly OSHAD), the Dubai Municipality Code of Construction Safety Practice and Trakhees EHS Regulations. The full suite, including MOIAT and Tasneef, and the custom report builder, are available on the Enterprise Plan.</w:t>
            </w:r>
          </w:p>
        </w:tc>
      </w:tr>
      <w:tr>
        <w:trPr/>
        <w:tc>
          <w:tcPr>
            <w:shd w:val="clear" w:fill="F7F7F7"/>
            <w:tcMar>
              <w:top w:w="60" w:type="dxa"/>
              <w:left w:w="110" w:type="dxa"/>
              <w:bottom w:w="60" w:type="dxa"/>
              <w:right w:w="110" w:type="dxa"/>
            </w:tcMar>
            <w:vAlign w:val="top"/>
          </w:tcPr>
          <w:p w14:paraId="0010048E" w14:textId="0010048F">
            <w:r>
              <w:rPr>
                <w:b w:val="false"/>
                <w:sz w:val="18"/>
              </w:rPr>
              <w:t xml:space="preserve">AI-Assisted Features</w:t>
            </w:r>
          </w:p>
        </w:tc>
        <w:tc>
          <w:tcPr>
            <w:tcMar>
              <w:top w:w="60" w:type="dxa"/>
              <w:left w:w="110" w:type="dxa"/>
              <w:bottom w:w="60" w:type="dxa"/>
              <w:right w:w="110" w:type="dxa"/>
            </w:tcMar>
            <w:vAlign w:val="top"/>
          </w:tcPr>
          <w:p w14:paraId="00100490" w14:textId="00100491">
            <w:r>
              <w:rPr>
                <w:sz w:val="18"/>
              </w:rPr>
              <w:t xml:space="preserve">MSRA drafting from the hazard library, incident root-cause suggestions, document review, warning-letter assistance and incident-photo hazard classification. Optional and subject to clause 12.</w:t>
            </w:r>
          </w:p>
        </w:tc>
      </w:tr>
    </w:tbl>
    <w:p w14:paraId="00100492" w14:textId="00100493">
      <w:pPr>
        <w:pStyle w:val="Heading1"/>
        <w:keepNext/>
        <w:keepLines/>
        <w:pageBreakBefore/>
        <w:spacing w:before="360" w:after="160"/>
      </w:pPr>
      <w:r>
        <w:rPr>
          <w:rFonts w:ascii="Calibri" w:hAnsi="Calibri" w:eastAsia="Calibri"/>
          <w:b/>
          <w:color w:val="005A4B"/>
          <w:sz w:val="30"/>
        </w:rPr>
        <w:t xml:space="preserve">Schedule B — Service Level Agreement</w:t>
      </w:r>
    </w:p>
    <w:p w14:paraId="00100494" w14:textId="00100495">
      <w:pPr>
        <w:spacing w:after="200"/>
        <w:jc w:val="both"/>
      </w:pPr>
      <w:r>
        <w:rPr>
          <w:rFonts w:ascii="Calibri" w:hAnsi="Calibri" w:eastAsia="Calibri"/>
          <w:color w:val="34322D"/>
          <w:sz w:val="21"/>
        </w:rPr>
        <w:t xml:space="preserve">This schedule sets the Availability target, the measurement method, the exclusions and the Service Credit remedy for the evaluation.</w:t>
      </w:r>
    </w:p>
    <w:p w14:paraId="00100496" w14:textId="00100497">
      <w:pPr>
        <w:keepNext/>
        <w:spacing w:before="280" w:after="160"/>
        <w:jc w:val="left"/>
      </w:pPr>
      <w:r>
        <w:rPr>
          <w:rFonts w:ascii="Calibri" w:hAnsi="Calibri" w:eastAsia="Calibri"/>
          <w:b/>
          <w:color w:val="005A4B"/>
          <w:sz w:val="27"/>
        </w:rPr>
        <w:t xml:space="preserve">B1. Availability target</w:t>
      </w:r>
    </w:p>
    <w:tbl>
      <w:tblPr>
        <w:tblW w:w="5000" w:type="pct"/>
        <w:tblBorders>
          <w:top w:val="single" w:color="DCDCDC" w:sz="4"/>
          <w:left w:val="single" w:color="DCDCDC" w:sz="4"/>
          <w:bottom w:val="single" w:color="DCDCDC" w:sz="4"/>
          <w:right w:val="single" w:color="DCDCDC" w:sz="4"/>
          <w:insideH w:val="single" w:color="DCDCDC" w:sz="4"/>
          <w:insideV w:val="none" w:sz="4"/>
        </w:tblBorders>
      </w:tblPr>
      <w:tblGrid>
        <w:gridCol w:w="2200"/>
        <w:gridCol w:w="4800"/>
        <w:gridCol w:w="2072"/>
      </w:tblGrid>
      <w:tr>
        <w:trPr/>
        <w:tc>
          <w:tcPr>
            <w:shd w:val="clear" w:fill="F0F0F0"/>
            <w:tcMar>
              <w:top w:w="60" w:type="dxa"/>
              <w:left w:w="110" w:type="dxa"/>
              <w:bottom w:w="60" w:type="dxa"/>
              <w:right w:w="110" w:type="dxa"/>
            </w:tcMar>
            <w:vAlign w:val="top"/>
          </w:tcPr>
          <w:p w14:paraId="00100498" w14:textId="00100499">
            <w:r>
              <w:rPr>
                <w:b/>
                <w:color w:val="34322D"/>
                <w:sz w:val="18"/>
              </w:rPr>
              <w:t xml:space="preserve">Metric</w:t>
            </w:r>
          </w:p>
        </w:tc>
        <w:tc>
          <w:tcPr>
            <w:shd w:val="clear" w:fill="F0F0F0"/>
            <w:tcMar>
              <w:top w:w="60" w:type="dxa"/>
              <w:left w:w="110" w:type="dxa"/>
              <w:bottom w:w="60" w:type="dxa"/>
              <w:right w:w="110" w:type="dxa"/>
            </w:tcMar>
            <w:vAlign w:val="top"/>
          </w:tcPr>
          <w:p w14:paraId="0010049A" w14:textId="0010049B">
            <w:r>
              <w:rPr>
                <w:b/>
                <w:color w:val="34322D"/>
                <w:sz w:val="18"/>
              </w:rPr>
              <w:t xml:space="preserve">Target</w:t>
            </w:r>
          </w:p>
        </w:tc>
        <w:tc>
          <w:tcPr>
            <w:shd w:val="clear" w:fill="F0F0F0"/>
            <w:tcMar>
              <w:top w:w="60" w:type="dxa"/>
              <w:left w:w="110" w:type="dxa"/>
              <w:bottom w:w="60" w:type="dxa"/>
              <w:right w:w="110" w:type="dxa"/>
            </w:tcMar>
            <w:vAlign w:val="top"/>
          </w:tcPr>
          <w:p w14:paraId="0010049C" w14:textId="0010049D">
            <w:r>
              <w:rPr>
                <w:b/>
                <w:color w:val="34322D"/>
                <w:sz w:val="18"/>
              </w:rPr>
              <w:t xml:space="preserve">Measurement period</w:t>
            </w:r>
          </w:p>
        </w:tc>
      </w:tr>
      <w:tr>
        <w:trPr/>
        <w:tc>
          <w:tcPr>
            <w:shd w:val="clear" w:fill="F7F7F7"/>
            <w:tcMar>
              <w:top w:w="60" w:type="dxa"/>
              <w:left w:w="110" w:type="dxa"/>
              <w:bottom w:w="60" w:type="dxa"/>
              <w:right w:w="110" w:type="dxa"/>
            </w:tcMar>
            <w:vAlign w:val="top"/>
          </w:tcPr>
          <w:p w14:paraId="0010049E" w14:textId="0010049F">
            <w:r>
              <w:rPr>
                <w:b w:val="false"/>
                <w:sz w:val="18"/>
              </w:rPr>
              <w:t xml:space="preserve">Uptime Percentage</w:t>
            </w:r>
          </w:p>
        </w:tc>
        <w:tc>
          <w:tcPr>
            <w:tcMar>
              <w:top w:w="60" w:type="dxa"/>
              <w:left w:w="110" w:type="dxa"/>
              <w:bottom w:w="60" w:type="dxa"/>
              <w:right w:w="110" w:type="dxa"/>
            </w:tcMar>
            <w:vAlign w:val="top"/>
          </w:tcPr>
          <w:p w14:paraId="001004A0" w14:textId="001004A1">
            <w:r>
              <w:rPr>
                <w:sz w:val="18"/>
              </w:rPr>
              <w:t xml:space="preserve">99.9%</w:t>
            </w:r>
          </w:p>
        </w:tc>
        <w:tc>
          <w:tcPr>
            <w:tcMar>
              <w:top w:w="60" w:type="dxa"/>
              <w:left w:w="110" w:type="dxa"/>
              <w:bottom w:w="60" w:type="dxa"/>
              <w:right w:w="110" w:type="dxa"/>
            </w:tcMar>
            <w:vAlign w:val="top"/>
          </w:tcPr>
          <w:p w14:paraId="001004A2" w14:textId="001004A3">
            <w:r>
              <w:rPr>
                <w:sz w:val="18"/>
              </w:rPr>
              <w:t xml:space="preserve">Each calendar month</w:t>
            </w:r>
          </w:p>
        </w:tc>
      </w:tr>
      <w:tr>
        <w:trPr/>
        <w:tc>
          <w:tcPr>
            <w:shd w:val="clear" w:fill="F7F7F7"/>
            <w:tcMar>
              <w:top w:w="60" w:type="dxa"/>
              <w:left w:w="110" w:type="dxa"/>
              <w:bottom w:w="60" w:type="dxa"/>
              <w:right w:w="110" w:type="dxa"/>
            </w:tcMar>
            <w:vAlign w:val="top"/>
          </w:tcPr>
          <w:p w14:paraId="001004A4" w14:textId="001004A5">
            <w:r>
              <w:rPr>
                <w:b w:val="false"/>
                <w:sz w:val="18"/>
              </w:rPr>
              <w:t xml:space="preserve">Maximum Downtime implied</w:t>
            </w:r>
          </w:p>
        </w:tc>
        <w:tc>
          <w:tcPr>
            <w:tcMar>
              <w:top w:w="60" w:type="dxa"/>
              <w:left w:w="110" w:type="dxa"/>
              <w:bottom w:w="60" w:type="dxa"/>
              <w:right w:w="110" w:type="dxa"/>
            </w:tcMar>
            <w:vAlign w:val="top"/>
          </w:tcPr>
          <w:p w14:paraId="001004A6" w14:textId="001004A7">
            <w:r>
              <w:rPr>
                <w:sz w:val="18"/>
              </w:rPr>
              <w:t xml:space="preserve">Approximately 43 minutes 50 seconds per calendar month</w:t>
            </w:r>
          </w:p>
        </w:tc>
        <w:tc>
          <w:tcPr>
            <w:tcMar>
              <w:top w:w="60" w:type="dxa"/>
              <w:left w:w="110" w:type="dxa"/>
              <w:bottom w:w="60" w:type="dxa"/>
              <w:right w:w="110" w:type="dxa"/>
            </w:tcMar>
            <w:vAlign w:val="top"/>
          </w:tcPr>
          <w:p w14:paraId="001004A8" w14:textId="001004A9">
            <w:r>
              <w:rPr>
                <w:sz w:val="18"/>
              </w:rPr>
              <w:t xml:space="preserve">Excluding Excluded Downtime</w:t>
            </w:r>
          </w:p>
        </w:tc>
      </w:tr>
      <w:tr>
        <w:trPr/>
        <w:tc>
          <w:tcPr>
            <w:shd w:val="clear" w:fill="F7F7F7"/>
            <w:tcMar>
              <w:top w:w="60" w:type="dxa"/>
              <w:left w:w="110" w:type="dxa"/>
              <w:bottom w:w="60" w:type="dxa"/>
              <w:right w:w="110" w:type="dxa"/>
            </w:tcMar>
            <w:vAlign w:val="top"/>
          </w:tcPr>
          <w:p w14:paraId="001004AA" w14:textId="001004AB">
            <w:r>
              <w:rPr>
                <w:b w:val="false"/>
                <w:sz w:val="18"/>
              </w:rPr>
              <w:t xml:space="preserve">Measurement source</w:t>
            </w:r>
          </w:p>
        </w:tc>
        <w:tc>
          <w:tcPr>
            <w:tcMar>
              <w:top w:w="60" w:type="dxa"/>
              <w:left w:w="110" w:type="dxa"/>
              <w:bottom w:w="60" w:type="dxa"/>
              <w:right w:w="110" w:type="dxa"/>
            </w:tcMar>
            <w:vAlign w:val="top"/>
          </w:tcPr>
          <w:p w14:paraId="001004AC" w14:textId="001004AD">
            <w:r>
              <w:rPr>
                <w:sz w:val="18"/>
              </w:rPr>
              <w:t xml:space="preserve">Automated monitoring against the Provider's public health endpoint, with automated outage alerting</w:t>
            </w:r>
          </w:p>
        </w:tc>
        <w:tc>
          <w:tcPr>
            <w:tcMar>
              <w:top w:w="60" w:type="dxa"/>
              <w:left w:w="110" w:type="dxa"/>
              <w:bottom w:w="60" w:type="dxa"/>
              <w:right w:w="110" w:type="dxa"/>
            </w:tcMar>
            <w:vAlign w:val="top"/>
          </w:tcPr>
          <w:p w14:paraId="001004AE" w14:textId="001004AF">
            <w:r>
              <w:rPr>
                <w:sz w:val="18"/>
              </w:rPr>
              <w:t xml:space="preserve">Continuous</w:t>
            </w:r>
          </w:p>
        </w:tc>
      </w:tr>
      <w:tr>
        <w:trPr/>
        <w:tc>
          <w:tcPr>
            <w:shd w:val="clear" w:fill="F7F7F7"/>
            <w:tcMar>
              <w:top w:w="60" w:type="dxa"/>
              <w:left w:w="110" w:type="dxa"/>
              <w:bottom w:w="60" w:type="dxa"/>
              <w:right w:w="110" w:type="dxa"/>
            </w:tcMar>
            <w:vAlign w:val="top"/>
          </w:tcPr>
          <w:p w14:paraId="001004B0" w14:textId="001004B1">
            <w:r>
              <w:rPr>
                <w:b w:val="false"/>
                <w:sz w:val="18"/>
              </w:rPr>
              <w:t xml:space="preserve">Reporting</w:t>
            </w:r>
          </w:p>
        </w:tc>
        <w:tc>
          <w:tcPr>
            <w:tcMar>
              <w:top w:w="60" w:type="dxa"/>
              <w:left w:w="110" w:type="dxa"/>
              <w:bottom w:w="60" w:type="dxa"/>
              <w:right w:w="110" w:type="dxa"/>
            </w:tcMar>
            <w:vAlign w:val="top"/>
          </w:tcPr>
          <w:p w14:paraId="001004B2" w14:textId="001004B3">
            <w:r>
              <w:rPr>
                <w:sz w:val="18"/>
              </w:rPr>
              <w:t xml:space="preserve">Monthly availability summary on request (clause 7.6)</w:t>
            </w:r>
          </w:p>
        </w:tc>
        <w:tc>
          <w:tcPr>
            <w:tcMar>
              <w:top w:w="60" w:type="dxa"/>
              <w:left w:w="110" w:type="dxa"/>
              <w:bottom w:w="60" w:type="dxa"/>
              <w:right w:w="110" w:type="dxa"/>
            </w:tcMar>
            <w:vAlign w:val="top"/>
          </w:tcPr>
          <w:p w14:paraId="001004B4" w14:textId="001004B5">
            <w:r>
              <w:rPr>
                <w:sz w:val="18"/>
              </w:rPr>
              <w:t xml:space="preserve">Within 5 Business Days of month end</w:t>
            </w:r>
          </w:p>
        </w:tc>
      </w:tr>
    </w:tbl>
    <w:p w14:paraId="001004B6" w14:textId="001004B7">
      <w:pPr>
        <w:keepNext/>
        <w:spacing w:before="280" w:after="160"/>
        <w:jc w:val="left"/>
      </w:pPr>
      <w:r>
        <w:rPr>
          <w:rFonts w:ascii="Calibri" w:hAnsi="Calibri" w:eastAsia="Calibri"/>
          <w:b/>
          <w:color w:val="005A4B"/>
          <w:sz w:val="27"/>
        </w:rPr>
        <w:t xml:space="preserve">B2. Measurement and calculation</w:t>
      </w:r>
    </w:p>
    <w:p w14:paraId="001004B8" w14:textId="001004B9">
      <w:pPr>
        <w:spacing w:after="120"/>
        <w:jc w:val="both"/>
      </w:pPr>
      <w:r>
        <w:rPr>
          <w:rFonts w:ascii="Calibri" w:hAnsi="Calibri" w:eastAsia="Calibri"/>
          <w:color w:val="34322D"/>
          <w:sz w:val="21"/>
        </w:rPr>
        <w:t xml:space="preserve">Uptime Percentage is calculated for each calendar month as: (total minutes in the month − Downtime minutes) ÷ (total minutes in the month) × 100, expressed to two decimal places.</w:t>
      </w:r>
    </w:p>
    <w:tbl>
      <w:tblPr>
        <w:tblW w:w="5000" w:type="pct"/>
        <w:tblBorders>
          <w:top w:val="single" w:color="DCDCDC" w:sz="4"/>
          <w:left w:val="single" w:color="DCDCDC" w:sz="4"/>
          <w:bottom w:val="single" w:color="DCDCDC" w:sz="4"/>
          <w:right w:val="single" w:color="DCDCDC" w:sz="4"/>
          <w:insideH w:val="single" w:color="DCDCDC" w:sz="4"/>
          <w:insideV w:val="none" w:sz="4"/>
        </w:tblBorders>
      </w:tblPr>
      <w:tblGrid>
        <w:gridCol w:w="2000"/>
        <w:gridCol w:w="7072"/>
      </w:tblGrid>
      <w:tr>
        <w:trPr/>
        <w:tc>
          <w:tcPr>
            <w:shd w:val="clear" w:fill="F0F0F0"/>
            <w:tcMar>
              <w:top w:w="60" w:type="dxa"/>
              <w:left w:w="110" w:type="dxa"/>
              <w:bottom w:w="60" w:type="dxa"/>
              <w:right w:w="110" w:type="dxa"/>
            </w:tcMar>
            <w:vAlign w:val="top"/>
          </w:tcPr>
          <w:p w14:paraId="001004BA" w14:textId="001004BB">
            <w:r>
              <w:rPr>
                <w:b/>
                <w:color w:val="34322D"/>
                <w:sz w:val="18"/>
              </w:rPr>
              <w:t xml:space="preserve">Term</w:t>
            </w:r>
          </w:p>
        </w:tc>
        <w:tc>
          <w:tcPr>
            <w:shd w:val="clear" w:fill="F0F0F0"/>
            <w:tcMar>
              <w:top w:w="60" w:type="dxa"/>
              <w:left w:w="110" w:type="dxa"/>
              <w:bottom w:w="60" w:type="dxa"/>
              <w:right w:w="110" w:type="dxa"/>
            </w:tcMar>
            <w:vAlign w:val="top"/>
          </w:tcPr>
          <w:p w14:paraId="001004BC" w14:textId="001004BD">
            <w:r>
              <w:rPr>
                <w:b/>
                <w:color w:val="34322D"/>
                <w:sz w:val="18"/>
              </w:rPr>
              <w:t xml:space="preserve">How it is treated</w:t>
            </w:r>
          </w:p>
        </w:tc>
      </w:tr>
      <w:tr>
        <w:trPr/>
        <w:tc>
          <w:tcPr>
            <w:shd w:val="clear" w:fill="F7F7F7"/>
            <w:tcMar>
              <w:top w:w="60" w:type="dxa"/>
              <w:left w:w="110" w:type="dxa"/>
              <w:bottom w:w="60" w:type="dxa"/>
              <w:right w:w="110" w:type="dxa"/>
            </w:tcMar>
            <w:vAlign w:val="top"/>
          </w:tcPr>
          <w:p w14:paraId="001004BE" w14:textId="001004BF">
            <w:r>
              <w:rPr>
                <w:b w:val="false"/>
                <w:sz w:val="18"/>
              </w:rPr>
              <w:t xml:space="preserve">Core Service</w:t>
            </w:r>
          </w:p>
        </w:tc>
        <w:tc>
          <w:tcPr>
            <w:tcMar>
              <w:top w:w="60" w:type="dxa"/>
              <w:left w:w="110" w:type="dxa"/>
              <w:bottom w:w="60" w:type="dxa"/>
              <w:right w:w="110" w:type="dxa"/>
            </w:tcMar>
            <w:vAlign w:val="top"/>
          </w:tcPr>
          <w:p w14:paraId="001004C0" w14:textId="001004C1">
            <w:r>
              <w:rPr>
                <w:sz w:val="18"/>
              </w:rPr>
              <w:t xml:space="preserve">Sign-in, the HSE dashboard, and the create, read and update operations for permits, inspections, incidents, documents, people and reports. The core Service does not include preview or beta features, AI-Assisted Features, notification delivery, PDF generation queues, or third-party services outside the Provider's control.</w:t>
            </w:r>
          </w:p>
        </w:tc>
      </w:tr>
      <w:tr>
        <w:trPr/>
        <w:tc>
          <w:tcPr>
            <w:shd w:val="clear" w:fill="F7F7F7"/>
            <w:tcMar>
              <w:top w:w="60" w:type="dxa"/>
              <w:left w:w="110" w:type="dxa"/>
              <w:bottom w:w="60" w:type="dxa"/>
              <w:right w:w="110" w:type="dxa"/>
            </w:tcMar>
            <w:vAlign w:val="top"/>
          </w:tcPr>
          <w:p w14:paraId="001004C2" w14:textId="001004C3">
            <w:r>
              <w:rPr>
                <w:b w:val="false"/>
                <w:sz w:val="18"/>
              </w:rPr>
              <w:t xml:space="preserve">Downtime</w:t>
            </w:r>
          </w:p>
        </w:tc>
        <w:tc>
          <w:tcPr>
            <w:tcMar>
              <w:top w:w="60" w:type="dxa"/>
              <w:left w:w="110" w:type="dxa"/>
              <w:bottom w:w="60" w:type="dxa"/>
              <w:right w:w="110" w:type="dxa"/>
            </w:tcMar>
            <w:vAlign w:val="top"/>
          </w:tcPr>
          <w:p w14:paraId="001004C4" w14:textId="001004C5">
            <w:r>
              <w:rPr>
                <w:sz w:val="18"/>
              </w:rPr>
              <w:t xml:space="preserve">Any period during which the core Service is unavailable to the Customer, other than Excluded Downtime. Downtime begins when the Provider's monitoring records a failure and ends when the core Service is available again.</w:t>
            </w:r>
          </w:p>
        </w:tc>
      </w:tr>
      <w:tr>
        <w:trPr/>
        <w:tc>
          <w:tcPr>
            <w:shd w:val="clear" w:fill="F7F7F7"/>
            <w:tcMar>
              <w:top w:w="60" w:type="dxa"/>
              <w:left w:w="110" w:type="dxa"/>
              <w:bottom w:w="60" w:type="dxa"/>
              <w:right w:w="110" w:type="dxa"/>
            </w:tcMar>
            <w:vAlign w:val="top"/>
          </w:tcPr>
          <w:p w14:paraId="001004C6" w14:textId="001004C7">
            <w:r>
              <w:rPr>
                <w:b w:val="false"/>
                <w:sz w:val="18"/>
              </w:rPr>
              <w:t xml:space="preserve">Partial degradation</w:t>
            </w:r>
          </w:p>
        </w:tc>
        <w:tc>
          <w:tcPr>
            <w:tcMar>
              <w:top w:w="60" w:type="dxa"/>
              <w:left w:w="110" w:type="dxa"/>
              <w:bottom w:w="60" w:type="dxa"/>
              <w:right w:w="110" w:type="dxa"/>
            </w:tcMar>
            <w:vAlign w:val="top"/>
          </w:tcPr>
          <w:p w14:paraId="001004C8" w14:textId="001004C9">
            <w:r>
              <w:rPr>
                <w:sz w:val="18"/>
              </w:rPr>
              <w:t xml:space="preserve">A period during which the core Service is available but a material workflow is substantially unusable is treated as Downtime for the affected workflow, weighted at fifty per cent (50%) unless the Parties agree otherwise. Repeated degradation of the same workflow in the same month is treated as full Downtime.</w:t>
            </w:r>
          </w:p>
        </w:tc>
      </w:tr>
      <w:tr>
        <w:trPr/>
        <w:tc>
          <w:tcPr>
            <w:shd w:val="clear" w:fill="F7F7F7"/>
            <w:tcMar>
              <w:top w:w="60" w:type="dxa"/>
              <w:left w:w="110" w:type="dxa"/>
              <w:bottom w:w="60" w:type="dxa"/>
              <w:right w:w="110" w:type="dxa"/>
            </w:tcMar>
            <w:vAlign w:val="top"/>
          </w:tcPr>
          <w:p w14:paraId="001004CA" w14:textId="001004CB">
            <w:r>
              <w:rPr>
                <w:b w:val="false"/>
                <w:sz w:val="18"/>
              </w:rPr>
              <w:t xml:space="preserve">Customer-side issues</w:t>
            </w:r>
          </w:p>
        </w:tc>
        <w:tc>
          <w:tcPr>
            <w:tcMar>
              <w:top w:w="60" w:type="dxa"/>
              <w:left w:w="110" w:type="dxa"/>
              <w:bottom w:w="60" w:type="dxa"/>
              <w:right w:w="110" w:type="dxa"/>
            </w:tcMar>
            <w:vAlign w:val="top"/>
          </w:tcPr>
          <w:p w14:paraId="001004CC" w14:textId="001004CD">
            <w:r>
              <w:rPr>
                <w:sz w:val="18"/>
              </w:rPr>
              <w:t xml:space="preserve">Unavailability caused by the Customer's own network, devices, browser configuration or identity provider is not Downtime.</w:t>
            </w:r>
          </w:p>
        </w:tc>
      </w:tr>
    </w:tbl>
    <w:p w14:paraId="001004CE" w14:textId="001004CF">
      <w:pPr>
        <w:keepNext/>
        <w:spacing w:before="280" w:after="160"/>
        <w:jc w:val="left"/>
      </w:pPr>
      <w:r>
        <w:rPr>
          <w:rFonts w:ascii="Calibri" w:hAnsi="Calibri" w:eastAsia="Calibri"/>
          <w:b/>
          <w:color w:val="005A4B"/>
          <w:sz w:val="27"/>
        </w:rPr>
        <w:t xml:space="preserve">B3. Excluded Downtime</w:t>
      </w:r>
    </w:p>
    <w:tbl>
      <w:tblPr>
        <w:tblW w:w="5000" w:type="pct"/>
        <w:tblBorders>
          <w:top w:val="single" w:color="DCDCDC" w:sz="4"/>
          <w:left w:val="single" w:color="DCDCDC" w:sz="4"/>
          <w:bottom w:val="single" w:color="DCDCDC" w:sz="4"/>
          <w:right w:val="single" w:color="DCDCDC" w:sz="4"/>
          <w:insideH w:val="single" w:color="DCDCDC" w:sz="4"/>
          <w:insideV w:val="none" w:sz="4"/>
        </w:tblBorders>
      </w:tblPr>
      <w:tblGrid>
        <w:gridCol w:w="2400"/>
        <w:gridCol w:w="6672"/>
      </w:tblGrid>
      <w:tr>
        <w:trPr/>
        <w:tc>
          <w:tcPr>
            <w:shd w:val="clear" w:fill="F0F0F0"/>
            <w:tcMar>
              <w:top w:w="60" w:type="dxa"/>
              <w:left w:w="110" w:type="dxa"/>
              <w:bottom w:w="60" w:type="dxa"/>
              <w:right w:w="110" w:type="dxa"/>
            </w:tcMar>
            <w:vAlign w:val="top"/>
          </w:tcPr>
          <w:p w14:paraId="001004D0" w14:textId="001004D1">
            <w:r>
              <w:rPr>
                <w:b/>
                <w:color w:val="34322D"/>
                <w:sz w:val="18"/>
              </w:rPr>
              <w:t xml:space="preserve">Exclusion</w:t>
            </w:r>
          </w:p>
        </w:tc>
        <w:tc>
          <w:tcPr>
            <w:shd w:val="clear" w:fill="F0F0F0"/>
            <w:tcMar>
              <w:top w:w="60" w:type="dxa"/>
              <w:left w:w="110" w:type="dxa"/>
              <w:bottom w:w="60" w:type="dxa"/>
              <w:right w:w="110" w:type="dxa"/>
            </w:tcMar>
            <w:vAlign w:val="top"/>
          </w:tcPr>
          <w:p w14:paraId="001004D2" w14:textId="001004D3">
            <w:r>
              <w:rPr>
                <w:b/>
                <w:color w:val="34322D"/>
                <w:sz w:val="18"/>
              </w:rPr>
              <w:t xml:space="preserve">Conditions</w:t>
            </w:r>
          </w:p>
        </w:tc>
      </w:tr>
      <w:tr>
        <w:trPr/>
        <w:tc>
          <w:tcPr>
            <w:shd w:val="clear" w:fill="F7F7F7"/>
            <w:tcMar>
              <w:top w:w="60" w:type="dxa"/>
              <w:left w:w="110" w:type="dxa"/>
              <w:bottom w:w="60" w:type="dxa"/>
              <w:right w:w="110" w:type="dxa"/>
            </w:tcMar>
            <w:vAlign w:val="top"/>
          </w:tcPr>
          <w:p w14:paraId="001004D4" w14:textId="001004D5">
            <w:r>
              <w:rPr>
                <w:b w:val="false"/>
                <w:sz w:val="18"/>
              </w:rPr>
              <w:t xml:space="preserve">Scheduled Maintenance Window</w:t>
            </w:r>
          </w:p>
        </w:tc>
        <w:tc>
          <w:tcPr>
            <w:tcMar>
              <w:top w:w="60" w:type="dxa"/>
              <w:left w:w="110" w:type="dxa"/>
              <w:bottom w:w="60" w:type="dxa"/>
              <w:right w:w="110" w:type="dxa"/>
            </w:tcMar>
            <w:vAlign w:val="top"/>
          </w:tcPr>
          <w:p w14:paraId="001004D6" w14:textId="001004D7">
            <w:r>
              <w:rPr>
                <w:sz w:val="18"/>
              </w:rPr>
              <w:t xml:space="preserve">Notice of at least 72 hours to the Customer's administrator where Downtime is expected; carried out within the window defined in B4.</w:t>
            </w:r>
          </w:p>
        </w:tc>
      </w:tr>
      <w:tr>
        <w:trPr/>
        <w:tc>
          <w:tcPr>
            <w:shd w:val="clear" w:fill="F7F7F7"/>
            <w:tcMar>
              <w:top w:w="60" w:type="dxa"/>
              <w:left w:w="110" w:type="dxa"/>
              <w:bottom w:w="60" w:type="dxa"/>
              <w:right w:w="110" w:type="dxa"/>
            </w:tcMar>
            <w:vAlign w:val="top"/>
          </w:tcPr>
          <w:p w14:paraId="001004D8" w14:textId="001004D9">
            <w:r>
              <w:rPr>
                <w:b w:val="false"/>
                <w:sz w:val="18"/>
              </w:rPr>
              <w:t xml:space="preserve">Emergency maintenance</w:t>
            </w:r>
          </w:p>
        </w:tc>
        <w:tc>
          <w:tcPr>
            <w:tcMar>
              <w:top w:w="60" w:type="dxa"/>
              <w:left w:w="110" w:type="dxa"/>
              <w:bottom w:w="60" w:type="dxa"/>
              <w:right w:w="110" w:type="dxa"/>
            </w:tcMar>
            <w:vAlign w:val="top"/>
          </w:tcPr>
          <w:p w14:paraId="001004DA" w14:textId="001004DB">
            <w:r>
              <w:rPr>
                <w:sz w:val="18"/>
              </w:rPr>
              <w:t xml:space="preserve">Carried out to protect security, integrity or stability; notice as soon as reasonably practicable; not recurring and reasonably avoidable.</w:t>
            </w:r>
          </w:p>
        </w:tc>
      </w:tr>
      <w:tr>
        <w:trPr/>
        <w:tc>
          <w:tcPr>
            <w:shd w:val="clear" w:fill="F7F7F7"/>
            <w:tcMar>
              <w:top w:w="60" w:type="dxa"/>
              <w:left w:w="110" w:type="dxa"/>
              <w:bottom w:w="60" w:type="dxa"/>
              <w:right w:w="110" w:type="dxa"/>
            </w:tcMar>
            <w:vAlign w:val="top"/>
          </w:tcPr>
          <w:p w14:paraId="001004DC" w14:textId="001004DD">
            <w:r>
              <w:rPr>
                <w:b w:val="false"/>
                <w:sz w:val="18"/>
              </w:rPr>
              <w:t xml:space="preserve">Suspension under clause 16.1(a)</w:t>
            </w:r>
          </w:p>
        </w:tc>
        <w:tc>
          <w:tcPr>
            <w:tcMar>
              <w:top w:w="60" w:type="dxa"/>
              <w:left w:w="110" w:type="dxa"/>
              <w:bottom w:w="60" w:type="dxa"/>
              <w:right w:w="110" w:type="dxa"/>
            </w:tcMar>
            <w:vAlign w:val="top"/>
          </w:tcPr>
          <w:p w14:paraId="001004DE" w14:textId="001004DF">
            <w:r>
              <w:rPr>
                <w:sz w:val="18"/>
              </w:rPr>
              <w:t xml:space="preserve">Suspension for the Customer's material breach of clause 3.4 or the acceptable use policy.</w:t>
            </w:r>
          </w:p>
        </w:tc>
      </w:tr>
      <w:tr>
        <w:trPr/>
        <w:tc>
          <w:tcPr>
            <w:shd w:val="clear" w:fill="F7F7F7"/>
            <w:tcMar>
              <w:top w:w="60" w:type="dxa"/>
              <w:left w:w="110" w:type="dxa"/>
              <w:bottom w:w="60" w:type="dxa"/>
              <w:right w:w="110" w:type="dxa"/>
            </w:tcMar>
            <w:vAlign w:val="top"/>
          </w:tcPr>
          <w:p w14:paraId="001004E0" w14:textId="001004E1">
            <w:r>
              <w:rPr>
                <w:b w:val="false"/>
                <w:sz w:val="18"/>
              </w:rPr>
              <w:t xml:space="preserve">Force majeure</w:t>
            </w:r>
          </w:p>
        </w:tc>
        <w:tc>
          <w:tcPr>
            <w:tcMar>
              <w:top w:w="60" w:type="dxa"/>
              <w:left w:w="110" w:type="dxa"/>
              <w:bottom w:w="60" w:type="dxa"/>
              <w:right w:w="110" w:type="dxa"/>
            </w:tcMar>
            <w:vAlign w:val="top"/>
          </w:tcPr>
          <w:p w14:paraId="001004E2" w14:textId="001004E3">
            <w:r>
              <w:rPr>
                <w:sz w:val="18"/>
              </w:rPr>
              <w:t xml:space="preserve">An event within clause 23 that affects the Service.</w:t>
            </w:r>
          </w:p>
        </w:tc>
      </w:tr>
      <w:tr>
        <w:trPr/>
        <w:tc>
          <w:tcPr>
            <w:shd w:val="clear" w:fill="F7F7F7"/>
            <w:tcMar>
              <w:top w:w="60" w:type="dxa"/>
              <w:left w:w="110" w:type="dxa"/>
              <w:bottom w:w="60" w:type="dxa"/>
              <w:right w:w="110" w:type="dxa"/>
            </w:tcMar>
            <w:vAlign w:val="top"/>
          </w:tcPr>
          <w:p w14:paraId="001004E4" w14:textId="001004E5">
            <w:r>
              <w:rPr>
                <w:b w:val="false"/>
                <w:sz w:val="18"/>
              </w:rPr>
              <w:t xml:space="preserve">Customer or third-party act</w:t>
            </w:r>
          </w:p>
        </w:tc>
        <w:tc>
          <w:tcPr>
            <w:tcMar>
              <w:top w:w="60" w:type="dxa"/>
              <w:left w:w="110" w:type="dxa"/>
              <w:bottom w:w="60" w:type="dxa"/>
              <w:right w:w="110" w:type="dxa"/>
            </w:tcMar>
            <w:vAlign w:val="top"/>
          </w:tcPr>
          <w:p w14:paraId="001004E6" w14:textId="001004E7">
            <w:r>
              <w:rPr>
                <w:sz w:val="18"/>
              </w:rPr>
              <w:t xml:space="preserve">An act or omission of the Customer, its Users, or a third party outside the Provider's control, including a failure of the Customer's identity provider.</w:t>
            </w:r>
          </w:p>
        </w:tc>
      </w:tr>
      <w:tr>
        <w:trPr/>
        <w:tc>
          <w:tcPr>
            <w:shd w:val="clear" w:fill="F7F7F7"/>
            <w:tcMar>
              <w:top w:w="60" w:type="dxa"/>
              <w:left w:w="110" w:type="dxa"/>
              <w:bottom w:w="60" w:type="dxa"/>
              <w:right w:w="110" w:type="dxa"/>
            </w:tcMar>
            <w:vAlign w:val="top"/>
          </w:tcPr>
          <w:p w14:paraId="001004E8" w14:textId="001004E9">
            <w:r>
              <w:rPr>
                <w:b w:val="false"/>
                <w:sz w:val="18"/>
              </w:rPr>
              <w:t xml:space="preserve">Public internet</w:t>
            </w:r>
          </w:p>
        </w:tc>
        <w:tc>
          <w:tcPr>
            <w:tcMar>
              <w:top w:w="60" w:type="dxa"/>
              <w:left w:w="110" w:type="dxa"/>
              <w:bottom w:w="60" w:type="dxa"/>
              <w:right w:w="110" w:type="dxa"/>
            </w:tcMar>
            <w:vAlign w:val="top"/>
          </w:tcPr>
          <w:p w14:paraId="001004EA" w14:textId="001004EB">
            <w:r>
              <w:rPr>
                <w:sz w:val="18"/>
              </w:rPr>
              <w:t xml:space="preserve">Failure of a public telecommunications network or internet routing outside the Provider's infrastructure.</w:t>
            </w:r>
          </w:p>
        </w:tc>
      </w:tr>
    </w:tbl>
    <w:p w14:paraId="001004EC" w14:textId="001004ED">
      <w:pPr>
        <w:keepNext/>
        <w:spacing w:before="280" w:after="160"/>
        <w:jc w:val="left"/>
      </w:pPr>
      <w:r>
        <w:rPr>
          <w:rFonts w:ascii="Calibri" w:hAnsi="Calibri" w:eastAsia="Calibri"/>
          <w:b/>
          <w:color w:val="005A4B"/>
          <w:sz w:val="27"/>
        </w:rPr>
        <w:t xml:space="preserve">B4. Maintenance windows</w:t>
      </w:r>
    </w:p>
    <w:tbl>
      <w:tblPr>
        <w:tblW w:w="5000" w:type="pct"/>
        <w:tblBorders>
          <w:top w:val="single" w:color="DCDCDC" w:sz="4"/>
          <w:left w:val="single" w:color="DCDCDC" w:sz="4"/>
          <w:bottom w:val="single" w:color="DCDCDC" w:sz="4"/>
          <w:right w:val="single" w:color="DCDCDC" w:sz="4"/>
          <w:insideH w:val="single" w:color="DCDCDC" w:sz="4"/>
          <w:insideV w:val="none" w:sz="4"/>
        </w:tblBorders>
      </w:tblPr>
      <w:tblGrid>
        <w:gridCol w:w="3000"/>
        <w:gridCol w:w="6072"/>
      </w:tblGrid>
      <w:tr>
        <w:trPr/>
        <w:tc>
          <w:tcPr>
            <w:shd w:val="clear" w:fill="F0F0F0"/>
            <w:tcMar>
              <w:top w:w="60" w:type="dxa"/>
              <w:left w:w="110" w:type="dxa"/>
              <w:bottom w:w="60" w:type="dxa"/>
              <w:right w:w="110" w:type="dxa"/>
            </w:tcMar>
            <w:vAlign w:val="top"/>
          </w:tcPr>
          <w:p w14:paraId="001004EE" w14:textId="001004EF">
            <w:r>
              <w:rPr>
                <w:b/>
                <w:color w:val="34322D"/>
                <w:sz w:val="18"/>
              </w:rPr>
              <w:t xml:space="preserve">Item</w:t>
            </w:r>
          </w:p>
        </w:tc>
        <w:tc>
          <w:tcPr>
            <w:shd w:val="clear" w:fill="F0F0F0"/>
            <w:tcMar>
              <w:top w:w="60" w:type="dxa"/>
              <w:left w:w="110" w:type="dxa"/>
              <w:bottom w:w="60" w:type="dxa"/>
              <w:right w:w="110" w:type="dxa"/>
            </w:tcMar>
            <w:vAlign w:val="top"/>
          </w:tcPr>
          <w:p w14:paraId="001004F0" w14:textId="001004F1">
            <w:r>
              <w:rPr>
                <w:b/>
                <w:color w:val="34322D"/>
                <w:sz w:val="18"/>
              </w:rPr>
              <w:t xml:space="preserve">Standard position</w:t>
            </w:r>
          </w:p>
        </w:tc>
      </w:tr>
      <w:tr>
        <w:trPr/>
        <w:tc>
          <w:tcPr>
            <w:shd w:val="clear" w:fill="F7F7F7"/>
            <w:tcMar>
              <w:top w:w="60" w:type="dxa"/>
              <w:left w:w="110" w:type="dxa"/>
              <w:bottom w:w="60" w:type="dxa"/>
              <w:right w:w="110" w:type="dxa"/>
            </w:tcMar>
            <w:vAlign w:val="top"/>
          </w:tcPr>
          <w:p w14:paraId="001004F2" w14:textId="001004F3">
            <w:r>
              <w:rPr>
                <w:b w:val="false"/>
                <w:sz w:val="18"/>
              </w:rPr>
              <w:t xml:space="preserve">Standard Scheduled Maintenance Window</w:t>
            </w:r>
          </w:p>
        </w:tc>
        <w:tc>
          <w:tcPr>
            <w:tcMar>
              <w:top w:w="60" w:type="dxa"/>
              <w:left w:w="110" w:type="dxa"/>
              <w:bottom w:w="60" w:type="dxa"/>
              <w:right w:w="110" w:type="dxa"/>
            </w:tcMar>
            <w:vAlign w:val="top"/>
          </w:tcPr>
          <w:p w14:paraId="001004F4" w14:textId="001004F5">
            <w:r>
              <w:rPr>
                <w:sz w:val="18"/>
              </w:rPr>
              <w:t xml:space="preserve">Sundays 02:00–05:00 GST, and such other windows as the Parties agree in the Order Form</w:t>
            </w:r>
          </w:p>
        </w:tc>
      </w:tr>
      <w:tr>
        <w:trPr/>
        <w:tc>
          <w:tcPr>
            <w:shd w:val="clear" w:fill="F7F7F7"/>
            <w:tcMar>
              <w:top w:w="60" w:type="dxa"/>
              <w:left w:w="110" w:type="dxa"/>
              <w:bottom w:w="60" w:type="dxa"/>
              <w:right w:w="110" w:type="dxa"/>
            </w:tcMar>
            <w:vAlign w:val="top"/>
          </w:tcPr>
          <w:p w14:paraId="001004F6" w14:textId="001004F7">
            <w:r>
              <w:rPr>
                <w:b w:val="false"/>
                <w:sz w:val="18"/>
              </w:rPr>
              <w:t xml:space="preserve">Notice for a window expected to cause Downtime</w:t>
            </w:r>
          </w:p>
        </w:tc>
        <w:tc>
          <w:tcPr>
            <w:tcMar>
              <w:top w:w="60" w:type="dxa"/>
              <w:left w:w="110" w:type="dxa"/>
              <w:bottom w:w="60" w:type="dxa"/>
              <w:right w:w="110" w:type="dxa"/>
            </w:tcMar>
            <w:vAlign w:val="top"/>
          </w:tcPr>
          <w:p w14:paraId="001004F8" w14:textId="001004F9">
            <w:r>
              <w:rPr>
                <w:sz w:val="18"/>
              </w:rPr>
              <w:t xml:space="preserve">At least 72 hours to the Customer's administrator</w:t>
            </w:r>
          </w:p>
        </w:tc>
      </w:tr>
      <w:tr>
        <w:trPr/>
        <w:tc>
          <w:tcPr>
            <w:shd w:val="clear" w:fill="F7F7F7"/>
            <w:tcMar>
              <w:top w:w="60" w:type="dxa"/>
              <w:left w:w="110" w:type="dxa"/>
              <w:bottom w:w="60" w:type="dxa"/>
              <w:right w:w="110" w:type="dxa"/>
            </w:tcMar>
            <w:vAlign w:val="top"/>
          </w:tcPr>
          <w:p w14:paraId="001004FA" w14:textId="001004FB">
            <w:r>
              <w:rPr>
                <w:b w:val="false"/>
                <w:sz w:val="18"/>
              </w:rPr>
              <w:t xml:space="preserve">Maximum planned Downtime in a window</w:t>
            </w:r>
          </w:p>
        </w:tc>
        <w:tc>
          <w:tcPr>
            <w:tcMar>
              <w:top w:w="60" w:type="dxa"/>
              <w:left w:w="110" w:type="dxa"/>
              <w:bottom w:w="60" w:type="dxa"/>
              <w:right w:w="110" w:type="dxa"/>
            </w:tcMar>
            <w:vAlign w:val="top"/>
          </w:tcPr>
          <w:p w14:paraId="001004FC" w14:textId="001004FD">
            <w:r>
              <w:rPr>
                <w:sz w:val="18"/>
              </w:rPr>
              <w:t xml:space="preserve">Three (3) hours unless otherwise agreed</w:t>
            </w:r>
          </w:p>
        </w:tc>
      </w:tr>
      <w:tr>
        <w:trPr/>
        <w:tc>
          <w:tcPr>
            <w:shd w:val="clear" w:fill="F7F7F7"/>
            <w:tcMar>
              <w:top w:w="60" w:type="dxa"/>
              <w:left w:w="110" w:type="dxa"/>
              <w:bottom w:w="60" w:type="dxa"/>
              <w:right w:w="110" w:type="dxa"/>
            </w:tcMar>
            <w:vAlign w:val="top"/>
          </w:tcPr>
          <w:p w14:paraId="001004FE" w14:textId="001004FF">
            <w:r>
              <w:rPr>
                <w:b w:val="false"/>
                <w:sz w:val="18"/>
              </w:rPr>
              <w:t xml:space="preserve">Emergency maintenance</w:t>
            </w:r>
          </w:p>
        </w:tc>
        <w:tc>
          <w:tcPr>
            <w:tcMar>
              <w:top w:w="60" w:type="dxa"/>
              <w:left w:w="110" w:type="dxa"/>
              <w:bottom w:w="60" w:type="dxa"/>
              <w:right w:w="110" w:type="dxa"/>
            </w:tcMar>
            <w:vAlign w:val="top"/>
          </w:tcPr>
          <w:p w14:paraId="00100500" w14:textId="00100501">
            <w:r>
              <w:rPr>
                <w:sz w:val="18"/>
              </w:rPr>
              <w:t xml:space="preserve">At any time, with notice as soon as reasonably practicable</w:t>
            </w:r>
          </w:p>
        </w:tc>
      </w:tr>
      <w:tr>
        <w:trPr/>
        <w:tc>
          <w:tcPr>
            <w:shd w:val="clear" w:fill="F7F7F7"/>
            <w:tcMar>
              <w:top w:w="60" w:type="dxa"/>
              <w:left w:w="110" w:type="dxa"/>
              <w:bottom w:w="60" w:type="dxa"/>
              <w:right w:w="110" w:type="dxa"/>
            </w:tcMar>
            <w:vAlign w:val="top"/>
          </w:tcPr>
          <w:p w14:paraId="00100502" w14:textId="00100503">
            <w:r>
              <w:rPr>
                <w:b w:val="false"/>
                <w:sz w:val="18"/>
              </w:rPr>
              <w:t xml:space="preserve">Notification channel</w:t>
            </w:r>
          </w:p>
        </w:tc>
        <w:tc>
          <w:tcPr>
            <w:tcMar>
              <w:top w:w="60" w:type="dxa"/>
              <w:left w:w="110" w:type="dxa"/>
              <w:bottom w:w="60" w:type="dxa"/>
              <w:right w:w="110" w:type="dxa"/>
            </w:tcMar>
            <w:vAlign w:val="top"/>
          </w:tcPr>
          <w:p w14:paraId="00100504" w14:textId="00100505">
            <w:r>
              <w:rPr>
                <w:sz w:val="18"/>
              </w:rPr>
              <w:t xml:space="preserve">Email to the Customer's administrator, and in-app notice where available</w:t>
            </w:r>
          </w:p>
        </w:tc>
      </w:tr>
    </w:tbl>
    <w:p w14:paraId="00100506" w14:textId="00100507">
      <w:pPr>
        <w:keepNext/>
        <w:spacing w:before="280" w:after="160"/>
        <w:jc w:val="left"/>
      </w:pPr>
      <w:r>
        <w:rPr>
          <w:rFonts w:ascii="Calibri" w:hAnsi="Calibri" w:eastAsia="Calibri"/>
          <w:b/>
          <w:color w:val="005A4B"/>
          <w:sz w:val="27"/>
        </w:rPr>
        <w:t xml:space="preserve">B5. Service Credits</w:t>
      </w:r>
    </w:p>
    <w:p w14:paraId="00100508" w14:textId="00100509">
      <w:pPr>
        <w:spacing w:after="160"/>
        <w:jc w:val="both"/>
      </w:pPr>
      <w:r>
        <w:rPr>
          <w:rFonts w:ascii="Calibri" w:hAnsi="Calibri" w:eastAsia="Calibri"/>
          <w:color w:val="34322D"/>
          <w:sz w:val="21"/>
        </w:rPr>
        <w:t xml:space="preserve">Where the Uptime Percentage in a calendar month is below the target in clause 7.1, the Customer is entitled to the following Service Credit. During a no-charge evaluation, the Service Credit is taken as an extension of the Evaluation Period at no cost, calculated on the same percentages applied to the number of days in the affected month.</w:t>
      </w:r>
    </w:p>
    <w:tbl>
      <w:tblPr>
        <w:tblW w:w="5000" w:type="pct"/>
        <w:tblBorders>
          <w:top w:val="single" w:color="DCDCDC" w:sz="4"/>
          <w:left w:val="single" w:color="DCDCDC" w:sz="4"/>
          <w:bottom w:val="single" w:color="DCDCDC" w:sz="4"/>
          <w:right w:val="single" w:color="DCDCDC" w:sz="4"/>
          <w:insideH w:val="single" w:color="DCDCDC" w:sz="4"/>
          <w:insideV w:val="none" w:sz="4"/>
        </w:tblBorders>
      </w:tblPr>
      <w:tblGrid>
        <w:gridCol w:w="3000"/>
        <w:gridCol w:w="3000"/>
        <w:gridCol w:w="3072"/>
      </w:tblGrid>
      <w:tr>
        <w:trPr/>
        <w:tc>
          <w:tcPr>
            <w:shd w:val="clear" w:fill="F0F0F0"/>
            <w:tcMar>
              <w:top w:w="60" w:type="dxa"/>
              <w:left w:w="110" w:type="dxa"/>
              <w:bottom w:w="60" w:type="dxa"/>
              <w:right w:w="110" w:type="dxa"/>
            </w:tcMar>
            <w:vAlign w:val="top"/>
          </w:tcPr>
          <w:p w14:paraId="0010050A" w14:textId="0010050B">
            <w:r>
              <w:rPr>
                <w:b/>
                <w:color w:val="34322D"/>
                <w:sz w:val="18"/>
              </w:rPr>
              <w:t xml:space="preserve">Uptime Percentage in the month</w:t>
            </w:r>
          </w:p>
        </w:tc>
        <w:tc>
          <w:tcPr>
            <w:shd w:val="clear" w:fill="F0F0F0"/>
            <w:tcMar>
              <w:top w:w="60" w:type="dxa"/>
              <w:left w:w="110" w:type="dxa"/>
              <w:bottom w:w="60" w:type="dxa"/>
              <w:right w:w="110" w:type="dxa"/>
            </w:tcMar>
            <w:vAlign w:val="top"/>
          </w:tcPr>
          <w:p w14:paraId="0010050C" w14:textId="0010050D">
            <w:r>
              <w:rPr>
                <w:b/>
                <w:color w:val="34322D"/>
                <w:sz w:val="18"/>
              </w:rPr>
              <w:t xml:space="preserve">Service Credit</w:t>
            </w:r>
          </w:p>
        </w:tc>
        <w:tc>
          <w:tcPr>
            <w:shd w:val="clear" w:fill="F0F0F0"/>
            <w:tcMar>
              <w:top w:w="60" w:type="dxa"/>
              <w:left w:w="110" w:type="dxa"/>
              <w:bottom w:w="60" w:type="dxa"/>
              <w:right w:w="110" w:type="dxa"/>
            </w:tcMar>
            <w:vAlign w:val="top"/>
          </w:tcPr>
          <w:p w14:paraId="0010050E" w14:textId="0010050F">
            <w:r>
              <w:rPr>
                <w:b/>
                <w:color w:val="34322D"/>
                <w:sz w:val="18"/>
              </w:rPr>
              <w:t xml:space="preserve">Evaluation extension</w:t>
            </w:r>
          </w:p>
        </w:tc>
      </w:tr>
      <w:tr>
        <w:trPr/>
        <w:tc>
          <w:tcPr>
            <w:shd w:val="clear" w:fill="F7F7F7"/>
            <w:tcMar>
              <w:top w:w="60" w:type="dxa"/>
              <w:left w:w="110" w:type="dxa"/>
              <w:bottom w:w="60" w:type="dxa"/>
              <w:right w:w="110" w:type="dxa"/>
            </w:tcMar>
            <w:vAlign w:val="top"/>
          </w:tcPr>
          <w:p w14:paraId="00100510" w14:textId="00100511">
            <w:r>
              <w:rPr>
                <w:b w:val="false"/>
                <w:sz w:val="18"/>
              </w:rPr>
              <w:t xml:space="preserve">99.90% or above</w:t>
            </w:r>
          </w:p>
        </w:tc>
        <w:tc>
          <w:tcPr>
            <w:tcMar>
              <w:top w:w="60" w:type="dxa"/>
              <w:left w:w="110" w:type="dxa"/>
              <w:bottom w:w="60" w:type="dxa"/>
              <w:right w:w="110" w:type="dxa"/>
            </w:tcMar>
            <w:vAlign w:val="top"/>
          </w:tcPr>
          <w:p w14:paraId="00100512" w14:textId="00100513">
            <w:r>
              <w:rPr>
                <w:sz w:val="18"/>
              </w:rPr>
              <w:t xml:space="preserve">None</w:t>
            </w:r>
          </w:p>
        </w:tc>
        <w:tc>
          <w:tcPr>
            <w:tcMar>
              <w:top w:w="60" w:type="dxa"/>
              <w:left w:w="110" w:type="dxa"/>
              <w:bottom w:w="60" w:type="dxa"/>
              <w:right w:w="110" w:type="dxa"/>
            </w:tcMar>
            <w:vAlign w:val="top"/>
          </w:tcPr>
          <w:p w14:paraId="00100514" w14:textId="00100515">
            <w:r>
              <w:rPr>
                <w:sz w:val="18"/>
              </w:rPr>
              <w:t xml:space="preserve">None</w:t>
            </w:r>
          </w:p>
        </w:tc>
      </w:tr>
      <w:tr>
        <w:trPr/>
        <w:tc>
          <w:tcPr>
            <w:shd w:val="clear" w:fill="F7F7F7"/>
            <w:tcMar>
              <w:top w:w="60" w:type="dxa"/>
              <w:left w:w="110" w:type="dxa"/>
              <w:bottom w:w="60" w:type="dxa"/>
              <w:right w:w="110" w:type="dxa"/>
            </w:tcMar>
            <w:vAlign w:val="top"/>
          </w:tcPr>
          <w:p w14:paraId="00100516" w14:textId="00100517">
            <w:r>
              <w:rPr>
                <w:b w:val="false"/>
                <w:sz w:val="18"/>
              </w:rPr>
              <w:t xml:space="preserve">99.50% to 99.89%</w:t>
            </w:r>
          </w:p>
        </w:tc>
        <w:tc>
          <w:tcPr>
            <w:tcMar>
              <w:top w:w="60" w:type="dxa"/>
              <w:left w:w="110" w:type="dxa"/>
              <w:bottom w:w="60" w:type="dxa"/>
              <w:right w:w="110" w:type="dxa"/>
            </w:tcMar>
            <w:vAlign w:val="top"/>
          </w:tcPr>
          <w:p w14:paraId="00100518" w14:textId="00100519">
            <w:r>
              <w:rPr>
                <w:sz w:val="18"/>
              </w:rPr>
              <w:t xml:space="preserve">5% of the monthly fee</w:t>
            </w:r>
          </w:p>
        </w:tc>
        <w:tc>
          <w:tcPr>
            <w:tcMar>
              <w:top w:w="60" w:type="dxa"/>
              <w:left w:w="110" w:type="dxa"/>
              <w:bottom w:w="60" w:type="dxa"/>
              <w:right w:w="110" w:type="dxa"/>
            </w:tcMar>
            <w:vAlign w:val="top"/>
          </w:tcPr>
          <w:p w14:paraId="0010051A" w14:textId="0010051B">
            <w:r>
              <w:rPr>
                <w:sz w:val="18"/>
              </w:rPr>
              <w:t xml:space="preserve">2 days</w:t>
            </w:r>
          </w:p>
        </w:tc>
      </w:tr>
      <w:tr>
        <w:trPr/>
        <w:tc>
          <w:tcPr>
            <w:shd w:val="clear" w:fill="F7F7F7"/>
            <w:tcMar>
              <w:top w:w="60" w:type="dxa"/>
              <w:left w:w="110" w:type="dxa"/>
              <w:bottom w:w="60" w:type="dxa"/>
              <w:right w:w="110" w:type="dxa"/>
            </w:tcMar>
            <w:vAlign w:val="top"/>
          </w:tcPr>
          <w:p w14:paraId="0010051C" w14:textId="0010051D">
            <w:r>
              <w:rPr>
                <w:b w:val="false"/>
                <w:sz w:val="18"/>
              </w:rPr>
              <w:t xml:space="preserve">99.00% to 99.49%</w:t>
            </w:r>
          </w:p>
        </w:tc>
        <w:tc>
          <w:tcPr>
            <w:tcMar>
              <w:top w:w="60" w:type="dxa"/>
              <w:left w:w="110" w:type="dxa"/>
              <w:bottom w:w="60" w:type="dxa"/>
              <w:right w:w="110" w:type="dxa"/>
            </w:tcMar>
            <w:vAlign w:val="top"/>
          </w:tcPr>
          <w:p w14:paraId="0010051E" w14:textId="0010051F">
            <w:r>
              <w:rPr>
                <w:sz w:val="18"/>
              </w:rPr>
              <w:t xml:space="preserve">10% of the monthly fee</w:t>
            </w:r>
          </w:p>
        </w:tc>
        <w:tc>
          <w:tcPr>
            <w:tcMar>
              <w:top w:w="60" w:type="dxa"/>
              <w:left w:w="110" w:type="dxa"/>
              <w:bottom w:w="60" w:type="dxa"/>
              <w:right w:w="110" w:type="dxa"/>
            </w:tcMar>
            <w:vAlign w:val="top"/>
          </w:tcPr>
          <w:p w14:paraId="00100520" w14:textId="00100521">
            <w:r>
              <w:rPr>
                <w:sz w:val="18"/>
              </w:rPr>
              <w:t xml:space="preserve">4 days</w:t>
            </w:r>
          </w:p>
        </w:tc>
      </w:tr>
      <w:tr>
        <w:trPr/>
        <w:tc>
          <w:tcPr>
            <w:shd w:val="clear" w:fill="F7F7F7"/>
            <w:tcMar>
              <w:top w:w="60" w:type="dxa"/>
              <w:left w:w="110" w:type="dxa"/>
              <w:bottom w:w="60" w:type="dxa"/>
              <w:right w:w="110" w:type="dxa"/>
            </w:tcMar>
            <w:vAlign w:val="top"/>
          </w:tcPr>
          <w:p w14:paraId="00100522" w14:textId="00100523">
            <w:r>
              <w:rPr>
                <w:b w:val="false"/>
                <w:sz w:val="18"/>
              </w:rPr>
              <w:t xml:space="preserve">98.00% to 98.99%</w:t>
            </w:r>
          </w:p>
        </w:tc>
        <w:tc>
          <w:tcPr>
            <w:tcMar>
              <w:top w:w="60" w:type="dxa"/>
              <w:left w:w="110" w:type="dxa"/>
              <w:bottom w:w="60" w:type="dxa"/>
              <w:right w:w="110" w:type="dxa"/>
            </w:tcMar>
            <w:vAlign w:val="top"/>
          </w:tcPr>
          <w:p w14:paraId="00100524" w14:textId="00100525">
            <w:r>
              <w:rPr>
                <w:sz w:val="18"/>
              </w:rPr>
              <w:t xml:space="preserve">15% of the monthly fee</w:t>
            </w:r>
          </w:p>
        </w:tc>
        <w:tc>
          <w:tcPr>
            <w:tcMar>
              <w:top w:w="60" w:type="dxa"/>
              <w:left w:w="110" w:type="dxa"/>
              <w:bottom w:w="60" w:type="dxa"/>
              <w:right w:w="110" w:type="dxa"/>
            </w:tcMar>
            <w:vAlign w:val="top"/>
          </w:tcPr>
          <w:p w14:paraId="00100526" w14:textId="00100527">
            <w:r>
              <w:rPr>
                <w:sz w:val="18"/>
              </w:rPr>
              <w:t xml:space="preserve">5 days</w:t>
            </w:r>
          </w:p>
        </w:tc>
      </w:tr>
      <w:tr>
        <w:trPr/>
        <w:tc>
          <w:tcPr>
            <w:shd w:val="clear" w:fill="F7F7F7"/>
            <w:tcMar>
              <w:top w:w="60" w:type="dxa"/>
              <w:left w:w="110" w:type="dxa"/>
              <w:bottom w:w="60" w:type="dxa"/>
              <w:right w:w="110" w:type="dxa"/>
            </w:tcMar>
            <w:vAlign w:val="top"/>
          </w:tcPr>
          <w:p w14:paraId="00100528" w14:textId="00100529">
            <w:r>
              <w:rPr>
                <w:b w:val="false"/>
                <w:sz w:val="18"/>
              </w:rPr>
              <w:t xml:space="preserve">95.00% to 97.99%</w:t>
            </w:r>
          </w:p>
        </w:tc>
        <w:tc>
          <w:tcPr>
            <w:tcMar>
              <w:top w:w="60" w:type="dxa"/>
              <w:left w:w="110" w:type="dxa"/>
              <w:bottom w:w="60" w:type="dxa"/>
              <w:right w:w="110" w:type="dxa"/>
            </w:tcMar>
            <w:vAlign w:val="top"/>
          </w:tcPr>
          <w:p w14:paraId="0010052A" w14:textId="0010052B">
            <w:r>
              <w:rPr>
                <w:sz w:val="18"/>
              </w:rPr>
              <w:t xml:space="preserve">25% of the monthly fee</w:t>
            </w:r>
          </w:p>
        </w:tc>
        <w:tc>
          <w:tcPr>
            <w:tcMar>
              <w:top w:w="60" w:type="dxa"/>
              <w:left w:w="110" w:type="dxa"/>
              <w:bottom w:w="60" w:type="dxa"/>
              <w:right w:w="110" w:type="dxa"/>
            </w:tcMar>
            <w:vAlign w:val="top"/>
          </w:tcPr>
          <w:p w14:paraId="0010052C" w14:textId="0010052D">
            <w:r>
              <w:rPr>
                <w:sz w:val="18"/>
              </w:rPr>
              <w:t xml:space="preserve">8 days</w:t>
            </w:r>
          </w:p>
        </w:tc>
      </w:tr>
      <w:tr>
        <w:trPr/>
        <w:tc>
          <w:tcPr>
            <w:shd w:val="clear" w:fill="F7F7F7"/>
            <w:tcMar>
              <w:top w:w="60" w:type="dxa"/>
              <w:left w:w="110" w:type="dxa"/>
              <w:bottom w:w="60" w:type="dxa"/>
              <w:right w:w="110" w:type="dxa"/>
            </w:tcMar>
            <w:vAlign w:val="top"/>
          </w:tcPr>
          <w:p w14:paraId="0010052E" w14:textId="0010052F">
            <w:r>
              <w:rPr>
                <w:b w:val="false"/>
                <w:sz w:val="18"/>
              </w:rPr>
              <w:t xml:space="preserve">Below 95.00%</w:t>
            </w:r>
          </w:p>
        </w:tc>
        <w:tc>
          <w:tcPr>
            <w:tcMar>
              <w:top w:w="60" w:type="dxa"/>
              <w:left w:w="110" w:type="dxa"/>
              <w:bottom w:w="60" w:type="dxa"/>
              <w:right w:w="110" w:type="dxa"/>
            </w:tcMar>
            <w:vAlign w:val="top"/>
          </w:tcPr>
          <w:p w14:paraId="00100530" w14:textId="00100531">
            <w:r>
              <w:rPr>
                <w:sz w:val="18"/>
              </w:rPr>
              <w:t xml:space="preserve">30% of the monthly fee</w:t>
            </w:r>
          </w:p>
        </w:tc>
        <w:tc>
          <w:tcPr>
            <w:tcMar>
              <w:top w:w="60" w:type="dxa"/>
              <w:left w:w="110" w:type="dxa"/>
              <w:bottom w:w="60" w:type="dxa"/>
              <w:right w:w="110" w:type="dxa"/>
            </w:tcMar>
            <w:vAlign w:val="top"/>
          </w:tcPr>
          <w:p w14:paraId="00100532" w14:textId="00100533">
            <w:r>
              <w:rPr>
                <w:sz w:val="18"/>
              </w:rPr>
              <w:t xml:space="preserve">10 days</w:t>
            </w:r>
          </w:p>
        </w:tc>
      </w:tr>
    </w:tbl>
    <w:tbl>
      <w:tblPr>
        <w:tblW w:w="5000" w:type="pct"/>
        <w:tblBorders>
          <w:top w:val="single" w:color="DCDCDC" w:sz="4"/>
          <w:left w:val="single" w:color="DCDCDC" w:sz="4"/>
          <w:bottom w:val="single" w:color="DCDCDC" w:sz="4"/>
          <w:right w:val="single" w:color="DCDCDC" w:sz="4"/>
          <w:insideH w:val="single" w:color="DCDCDC" w:sz="4"/>
          <w:insideV w:val="none" w:sz="4"/>
        </w:tblBorders>
      </w:tblPr>
      <w:tblGrid>
        <w:gridCol w:w="2200"/>
        <w:gridCol w:w="6872"/>
      </w:tblGrid>
      <w:tr>
        <w:trPr/>
        <w:tc>
          <w:tcPr>
            <w:shd w:val="clear" w:fill="F0F0F0"/>
            <w:tcMar>
              <w:top w:w="60" w:type="dxa"/>
              <w:left w:w="110" w:type="dxa"/>
              <w:bottom w:w="60" w:type="dxa"/>
              <w:right w:w="110" w:type="dxa"/>
            </w:tcMar>
            <w:vAlign w:val="top"/>
          </w:tcPr>
          <w:p w14:paraId="00100534" w14:textId="00100535">
            <w:r>
              <w:rPr>
                <w:b/>
                <w:color w:val="34322D"/>
                <w:sz w:val="18"/>
              </w:rPr>
              <w:t xml:space="preserve">Service Credit terms</w:t>
            </w:r>
          </w:p>
        </w:tc>
        <w:tc>
          <w:tcPr>
            <w:shd w:val="clear" w:fill="F0F0F0"/>
            <w:tcMar>
              <w:top w:w="60" w:type="dxa"/>
              <w:left w:w="110" w:type="dxa"/>
              <w:bottom w:w="60" w:type="dxa"/>
              <w:right w:w="110" w:type="dxa"/>
            </w:tcMar>
            <w:vAlign w:val="top"/>
          </w:tcPr>
          <w:p w14:paraId="00100536" w14:textId="00100537">
            <w:r>
              <w:rPr>
                <w:b/>
                <w:color w:val="34322D"/>
                <w:sz w:val="18"/>
              </w:rPr>
              <w:t xml:space="preserve">Position</w:t>
            </w:r>
          </w:p>
        </w:tc>
      </w:tr>
      <w:tr>
        <w:trPr/>
        <w:tc>
          <w:tcPr>
            <w:shd w:val="clear" w:fill="F7F7F7"/>
            <w:tcMar>
              <w:top w:w="60" w:type="dxa"/>
              <w:left w:w="110" w:type="dxa"/>
              <w:bottom w:w="60" w:type="dxa"/>
              <w:right w:w="110" w:type="dxa"/>
            </w:tcMar>
            <w:vAlign w:val="top"/>
          </w:tcPr>
          <w:p w14:paraId="00100538" w14:textId="00100539">
            <w:r>
              <w:rPr>
                <w:b w:val="false"/>
                <w:sz w:val="18"/>
              </w:rPr>
              <w:t xml:space="preserve">Cap</w:t>
            </w:r>
          </w:p>
        </w:tc>
        <w:tc>
          <w:tcPr>
            <w:tcMar>
              <w:top w:w="60" w:type="dxa"/>
              <w:left w:w="110" w:type="dxa"/>
              <w:bottom w:w="60" w:type="dxa"/>
              <w:right w:w="110" w:type="dxa"/>
            </w:tcMar>
            <w:vAlign w:val="top"/>
          </w:tcPr>
          <w:p w14:paraId="0010053A" w14:textId="0010053B">
            <w:r>
              <w:rPr>
                <w:sz w:val="18"/>
              </w:rPr>
              <w:t xml:space="preserve">The total Service Credit in any twelve-month period will not exceed 30% of the fees payable for that period. During a no-charge evaluation, the aggregate extension will not exceed 30 days.</w:t>
            </w:r>
          </w:p>
        </w:tc>
      </w:tr>
      <w:tr>
        <w:trPr/>
        <w:tc>
          <w:tcPr>
            <w:shd w:val="clear" w:fill="F7F7F7"/>
            <w:tcMar>
              <w:top w:w="60" w:type="dxa"/>
              <w:left w:w="110" w:type="dxa"/>
              <w:bottom w:w="60" w:type="dxa"/>
              <w:right w:w="110" w:type="dxa"/>
            </w:tcMar>
            <w:vAlign w:val="top"/>
          </w:tcPr>
          <w:p w14:paraId="0010053C" w14:textId="0010053D">
            <w:r>
              <w:rPr>
                <w:b w:val="false"/>
                <w:sz w:val="18"/>
              </w:rPr>
              <w:t xml:space="preserve">Sole remedy</w:t>
            </w:r>
          </w:p>
        </w:tc>
        <w:tc>
          <w:tcPr>
            <w:tcMar>
              <w:top w:w="60" w:type="dxa"/>
              <w:left w:w="110" w:type="dxa"/>
              <w:bottom w:w="60" w:type="dxa"/>
              <w:right w:w="110" w:type="dxa"/>
            </w:tcMar>
            <w:vAlign w:val="top"/>
          </w:tcPr>
          <w:p w14:paraId="0010053E" w14:textId="0010053F">
            <w:r>
              <w:rPr>
                <w:sz w:val="18"/>
              </w:rPr>
              <w:t xml:space="preserve">Service Credits are the sole financial remedy for a failure to meet the Availability target (clauses 7.7 and 20.4).</w:t>
            </w:r>
          </w:p>
        </w:tc>
      </w:tr>
      <w:tr>
        <w:trPr/>
        <w:tc>
          <w:tcPr>
            <w:shd w:val="clear" w:fill="F7F7F7"/>
            <w:tcMar>
              <w:top w:w="60" w:type="dxa"/>
              <w:left w:w="110" w:type="dxa"/>
              <w:bottom w:w="60" w:type="dxa"/>
              <w:right w:w="110" w:type="dxa"/>
            </w:tcMar>
            <w:vAlign w:val="top"/>
          </w:tcPr>
          <w:p w14:paraId="00100540" w14:textId="00100541">
            <w:r>
              <w:rPr>
                <w:b w:val="false"/>
                <w:sz w:val="18"/>
              </w:rPr>
              <w:t xml:space="preserve">Claim procedure</w:t>
            </w:r>
          </w:p>
        </w:tc>
        <w:tc>
          <w:tcPr>
            <w:tcMar>
              <w:top w:w="60" w:type="dxa"/>
              <w:left w:w="110" w:type="dxa"/>
              <w:bottom w:w="60" w:type="dxa"/>
              <w:right w:w="110" w:type="dxa"/>
            </w:tcMar>
            <w:vAlign w:val="top"/>
          </w:tcPr>
          <w:p w14:paraId="00100542" w14:textId="00100543">
            <w:r>
              <w:rPr>
                <w:sz w:val="18"/>
              </w:rPr>
              <w:t xml:space="preserve">The Customer may claim a Service Credit within thirty (30) days of the end of the affected month by submitting the information in Schedule E to info@sitesafetyuae.com. The Provider shall confirm or dispute the claim within ten (10) Business Days.</w:t>
            </w:r>
          </w:p>
        </w:tc>
      </w:tr>
      <w:tr>
        <w:trPr/>
        <w:tc>
          <w:tcPr>
            <w:shd w:val="clear" w:fill="F7F7F7"/>
            <w:tcMar>
              <w:top w:w="60" w:type="dxa"/>
              <w:left w:w="110" w:type="dxa"/>
              <w:bottom w:w="60" w:type="dxa"/>
              <w:right w:w="110" w:type="dxa"/>
            </w:tcMar>
            <w:vAlign w:val="top"/>
          </w:tcPr>
          <w:p w14:paraId="00100544" w14:textId="00100545">
            <w:r>
              <w:rPr>
                <w:b w:val="false"/>
                <w:sz w:val="18"/>
              </w:rPr>
              <w:t xml:space="preserve">Evidence</w:t>
            </w:r>
          </w:p>
        </w:tc>
        <w:tc>
          <w:tcPr>
            <w:tcMar>
              <w:top w:w="60" w:type="dxa"/>
              <w:left w:w="110" w:type="dxa"/>
              <w:bottom w:w="60" w:type="dxa"/>
              <w:right w:w="110" w:type="dxa"/>
            </w:tcMar>
            <w:vAlign w:val="top"/>
          </w:tcPr>
          <w:p w14:paraId="00100546" w14:textId="00100547">
            <w:r>
              <w:rPr>
                <w:sz w:val="18"/>
              </w:rPr>
              <w:t xml:space="preserve">The Provider shall provide the measured Uptime Percentage for the affected month on request, and shall not withhold the availability report on the basis that a claim has not been made.</w:t>
            </w:r>
          </w:p>
        </w:tc>
      </w:tr>
      <w:tr>
        <w:trPr/>
        <w:tc>
          <w:tcPr>
            <w:shd w:val="clear" w:fill="F7F7F7"/>
            <w:tcMar>
              <w:top w:w="60" w:type="dxa"/>
              <w:left w:w="110" w:type="dxa"/>
              <w:bottom w:w="60" w:type="dxa"/>
              <w:right w:w="110" w:type="dxa"/>
            </w:tcMar>
            <w:vAlign w:val="top"/>
          </w:tcPr>
          <w:p w14:paraId="00100548" w14:textId="00100549">
            <w:r>
              <w:rPr>
                <w:b w:val="false"/>
                <w:sz w:val="18"/>
              </w:rPr>
              <w:t xml:space="preserve">Application</w:t>
            </w:r>
          </w:p>
        </w:tc>
        <w:tc>
          <w:tcPr>
            <w:tcMar>
              <w:top w:w="60" w:type="dxa"/>
              <w:left w:w="110" w:type="dxa"/>
              <w:bottom w:w="60" w:type="dxa"/>
              <w:right w:w="110" w:type="dxa"/>
            </w:tcMar>
            <w:vAlign w:val="top"/>
          </w:tcPr>
          <w:p w14:paraId="0010054A" w14:textId="0010054B">
            <w:r>
              <w:rPr>
                <w:sz w:val="18"/>
              </w:rPr>
              <w:t xml:space="preserve">On a paid subscription, the credit is applied to the next invoice. During a no-charge evaluation, the Evaluation Period is extended by the number of days in the table above.</w:t>
            </w:r>
          </w:p>
        </w:tc>
      </w:tr>
    </w:tbl>
    <w:p w14:paraId="0010054C" w14:textId="0010054D">
      <w:pPr>
        <w:pStyle w:val="Heading1"/>
        <w:keepNext/>
        <w:keepLines/>
        <w:pageBreakBefore/>
        <w:spacing w:before="360" w:after="160"/>
      </w:pPr>
      <w:r>
        <w:rPr>
          <w:rFonts w:ascii="Calibri" w:hAnsi="Calibri" w:eastAsia="Calibri"/>
          <w:b/>
          <w:color w:val="005A4B"/>
          <w:sz w:val="30"/>
        </w:rPr>
        <w:t xml:space="preserve">Schedule C — Support, severity and escalation</w:t>
      </w:r>
    </w:p>
    <w:p w14:paraId="0010054E" w14:textId="0010054F">
      <w:pPr>
        <w:keepNext/>
        <w:spacing w:before="0" w:after="160"/>
        <w:jc w:val="left"/>
      </w:pPr>
      <w:r>
        <w:rPr>
          <w:rFonts w:ascii="Calibri" w:hAnsi="Calibri" w:eastAsia="Calibri"/>
          <w:b/>
          <w:color w:val="005A4B"/>
          <w:sz w:val="27"/>
        </w:rPr>
        <w:t xml:space="preserve">C1. Severity levels</w:t>
      </w:r>
    </w:p>
    <w:tbl>
      <w:tblPr>
        <w:tblW w:w="5000" w:type="pct"/>
        <w:tblBorders>
          <w:top w:val="single" w:color="DCDCDC" w:sz="4"/>
          <w:left w:val="single" w:color="DCDCDC" w:sz="4"/>
          <w:bottom w:val="single" w:color="DCDCDC" w:sz="4"/>
          <w:right w:val="single" w:color="DCDCDC" w:sz="4"/>
          <w:insideH w:val="single" w:color="DCDCDC" w:sz="4"/>
          <w:insideV w:val="none" w:sz="4"/>
        </w:tblBorders>
      </w:tblPr>
      <w:tblGrid>
        <w:gridCol w:w="1600"/>
        <w:gridCol w:w="4200"/>
        <w:gridCol w:w="3272"/>
      </w:tblGrid>
      <w:tr>
        <w:trPr/>
        <w:tc>
          <w:tcPr>
            <w:shd w:val="clear" w:fill="F0F0F0"/>
            <w:tcMar>
              <w:top w:w="60" w:type="dxa"/>
              <w:left w:w="110" w:type="dxa"/>
              <w:bottom w:w="60" w:type="dxa"/>
              <w:right w:w="110" w:type="dxa"/>
            </w:tcMar>
            <w:vAlign w:val="top"/>
          </w:tcPr>
          <w:p w14:paraId="00100550" w14:textId="00100551">
            <w:r>
              <w:rPr>
                <w:b/>
                <w:color w:val="34322D"/>
                <w:sz w:val="18"/>
              </w:rPr>
              <w:t xml:space="preserve">Level</w:t>
            </w:r>
          </w:p>
        </w:tc>
        <w:tc>
          <w:tcPr>
            <w:shd w:val="clear" w:fill="F0F0F0"/>
            <w:tcMar>
              <w:top w:w="60" w:type="dxa"/>
              <w:left w:w="110" w:type="dxa"/>
              <w:bottom w:w="60" w:type="dxa"/>
              <w:right w:w="110" w:type="dxa"/>
            </w:tcMar>
            <w:vAlign w:val="top"/>
          </w:tcPr>
          <w:p w14:paraId="00100552" w14:textId="00100553">
            <w:r>
              <w:rPr>
                <w:b/>
                <w:color w:val="34322D"/>
                <w:sz w:val="18"/>
              </w:rPr>
              <w:t xml:space="preserve">Definition</w:t>
            </w:r>
          </w:p>
        </w:tc>
        <w:tc>
          <w:tcPr>
            <w:shd w:val="clear" w:fill="F0F0F0"/>
            <w:tcMar>
              <w:top w:w="60" w:type="dxa"/>
              <w:left w:w="110" w:type="dxa"/>
              <w:bottom w:w="60" w:type="dxa"/>
              <w:right w:w="110" w:type="dxa"/>
            </w:tcMar>
            <w:vAlign w:val="top"/>
          </w:tcPr>
          <w:p w14:paraId="00100554" w14:textId="00100555">
            <w:r>
              <w:rPr>
                <w:b/>
                <w:color w:val="34322D"/>
                <w:sz w:val="18"/>
              </w:rPr>
              <w:t xml:space="preserve">Examples</w:t>
            </w:r>
          </w:p>
        </w:tc>
      </w:tr>
      <w:tr>
        <w:trPr/>
        <w:tc>
          <w:tcPr>
            <w:shd w:val="clear" w:fill="F7F7F7"/>
            <w:tcMar>
              <w:top w:w="60" w:type="dxa"/>
              <w:left w:w="110" w:type="dxa"/>
              <w:bottom w:w="60" w:type="dxa"/>
              <w:right w:w="110" w:type="dxa"/>
            </w:tcMar>
            <w:vAlign w:val="top"/>
          </w:tcPr>
          <w:p w14:paraId="00100556" w14:textId="00100557">
            <w:r>
              <w:rPr>
                <w:b w:val="false"/>
                <w:sz w:val="18"/>
              </w:rPr>
              <w:t xml:space="preserve">S1 — Outage</w:t>
            </w:r>
          </w:p>
        </w:tc>
        <w:tc>
          <w:tcPr>
            <w:tcMar>
              <w:top w:w="60" w:type="dxa"/>
              <w:left w:w="110" w:type="dxa"/>
              <w:bottom w:w="60" w:type="dxa"/>
              <w:right w:w="110" w:type="dxa"/>
            </w:tcMar>
            <w:vAlign w:val="top"/>
          </w:tcPr>
          <w:p w14:paraId="00100558" w14:textId="00100559">
            <w:r>
              <w:rPr>
                <w:sz w:val="18"/>
              </w:rPr>
              <w:t xml:space="preserve">The core Service is unavailable, or a critical workflow cannot be used at all, and there is no workaround. Safety-critical data capture is prevented.</w:t>
            </w:r>
          </w:p>
        </w:tc>
        <w:tc>
          <w:tcPr>
            <w:tcMar>
              <w:top w:w="60" w:type="dxa"/>
              <w:left w:w="110" w:type="dxa"/>
              <w:bottom w:w="60" w:type="dxa"/>
              <w:right w:w="110" w:type="dxa"/>
            </w:tcMar>
            <w:vAlign w:val="top"/>
          </w:tcPr>
          <w:p w14:paraId="0010055A" w14:textId="0010055B">
            <w:r>
              <w:rPr>
                <w:sz w:val="18"/>
              </w:rPr>
              <w:t xml:space="preserve">Cannot sign in; permits cannot be raised or closed; incident reporting unavailable; platform returning errors for all users.</w:t>
            </w:r>
          </w:p>
        </w:tc>
      </w:tr>
      <w:tr>
        <w:trPr/>
        <w:tc>
          <w:tcPr>
            <w:shd w:val="clear" w:fill="F7F7F7"/>
            <w:tcMar>
              <w:top w:w="60" w:type="dxa"/>
              <w:left w:w="110" w:type="dxa"/>
              <w:bottom w:w="60" w:type="dxa"/>
              <w:right w:w="110" w:type="dxa"/>
            </w:tcMar>
            <w:vAlign w:val="top"/>
          </w:tcPr>
          <w:p w14:paraId="0010055C" w14:textId="0010055D">
            <w:r>
              <w:rPr>
                <w:b w:val="false"/>
                <w:sz w:val="18"/>
              </w:rPr>
              <w:t xml:space="preserve">S2 — Major</w:t>
            </w:r>
          </w:p>
        </w:tc>
        <w:tc>
          <w:tcPr>
            <w:tcMar>
              <w:top w:w="60" w:type="dxa"/>
              <w:left w:w="110" w:type="dxa"/>
              <w:bottom w:w="60" w:type="dxa"/>
              <w:right w:w="110" w:type="dxa"/>
            </w:tcMar>
            <w:vAlign w:val="top"/>
          </w:tcPr>
          <w:p w14:paraId="0010055E" w14:textId="0010055F">
            <w:r>
              <w:rPr>
                <w:sz w:val="18"/>
              </w:rPr>
              <w:t xml:space="preserve">A material function is unavailable or materially degraded, or a significant number of users are affected, and only a limited or inconvenient workaround exists.</w:t>
            </w:r>
          </w:p>
        </w:tc>
        <w:tc>
          <w:tcPr>
            <w:tcMar>
              <w:top w:w="60" w:type="dxa"/>
              <w:left w:w="110" w:type="dxa"/>
              <w:bottom w:w="60" w:type="dxa"/>
              <w:right w:w="110" w:type="dxa"/>
            </w:tcMar>
            <w:vAlign w:val="top"/>
          </w:tcPr>
          <w:p w14:paraId="00100560" w14:textId="00100561">
            <w:r>
              <w:rPr>
                <w:sz w:val="18"/>
              </w:rPr>
              <w:t xml:space="preserve">Report exports failing; notifications not sending; one site or module inaccessible; AI-Assisted Features failing.</w:t>
            </w:r>
          </w:p>
        </w:tc>
      </w:tr>
      <w:tr>
        <w:trPr/>
        <w:tc>
          <w:tcPr>
            <w:shd w:val="clear" w:fill="F7F7F7"/>
            <w:tcMar>
              <w:top w:w="60" w:type="dxa"/>
              <w:left w:w="110" w:type="dxa"/>
              <w:bottom w:w="60" w:type="dxa"/>
              <w:right w:w="110" w:type="dxa"/>
            </w:tcMar>
            <w:vAlign w:val="top"/>
          </w:tcPr>
          <w:p w14:paraId="00100562" w14:textId="00100563">
            <w:r>
              <w:rPr>
                <w:b w:val="false"/>
                <w:sz w:val="18"/>
              </w:rPr>
              <w:t xml:space="preserve">S3 — Minor or question</w:t>
            </w:r>
          </w:p>
        </w:tc>
        <w:tc>
          <w:tcPr>
            <w:tcMar>
              <w:top w:w="60" w:type="dxa"/>
              <w:left w:w="110" w:type="dxa"/>
              <w:bottom w:w="60" w:type="dxa"/>
              <w:right w:w="110" w:type="dxa"/>
            </w:tcMar>
            <w:vAlign w:val="top"/>
          </w:tcPr>
          <w:p w14:paraId="00100564" w14:textId="00100565">
            <w:r>
              <w:rPr>
                <w:sz w:val="18"/>
              </w:rPr>
              <w:t xml:space="preserve">A non-critical defect, a cosmetic issue, a single-user problem, or a product, configuration or billing question.</w:t>
            </w:r>
          </w:p>
        </w:tc>
        <w:tc>
          <w:tcPr>
            <w:tcMar>
              <w:top w:w="60" w:type="dxa"/>
              <w:left w:w="110" w:type="dxa"/>
              <w:bottom w:w="60" w:type="dxa"/>
              <w:right w:w="110" w:type="dxa"/>
            </w:tcMar>
            <w:vAlign w:val="top"/>
          </w:tcPr>
          <w:p w14:paraId="00100566" w14:textId="00100567">
            <w:r>
              <w:rPr>
                <w:sz w:val="18"/>
              </w:rPr>
              <w:t xml:space="preserve">Display or formatting issue; a single user's permission problem; how-to question; request for clarification of an authority template.</w:t>
            </w:r>
          </w:p>
        </w:tc>
      </w:tr>
    </w:tbl>
    <w:p w14:paraId="00100568" w14:textId="00100569">
      <w:pPr>
        <w:keepNext/>
        <w:spacing w:before="280" w:after="160"/>
        <w:jc w:val="left"/>
      </w:pPr>
      <w:r>
        <w:rPr>
          <w:rFonts w:ascii="Calibri" w:hAnsi="Calibri" w:eastAsia="Calibri"/>
          <w:b/>
          <w:color w:val="005A4B"/>
          <w:sz w:val="27"/>
        </w:rPr>
        <w:t xml:space="preserve">C2. Response and resolution targets</w:t>
      </w:r>
    </w:p>
    <w:tbl>
      <w:tblPr>
        <w:tblW w:w="5000" w:type="pct"/>
        <w:tblBorders>
          <w:top w:val="single" w:color="DCDCDC" w:sz="4"/>
          <w:left w:val="single" w:color="DCDCDC" w:sz="4"/>
          <w:bottom w:val="single" w:color="DCDCDC" w:sz="4"/>
          <w:right w:val="single" w:color="DCDCDC" w:sz="4"/>
          <w:insideH w:val="single" w:color="DCDCDC" w:sz="4"/>
          <w:insideV w:val="none" w:sz="4"/>
        </w:tblBorders>
      </w:tblPr>
      <w:tblGrid>
        <w:gridCol w:w="1700"/>
        <w:gridCol w:w="1900"/>
        <w:gridCol w:w="2100"/>
        <w:gridCol w:w="3372"/>
      </w:tblGrid>
      <w:tr>
        <w:trPr/>
        <w:tc>
          <w:tcPr>
            <w:shd w:val="clear" w:fill="F0F0F0"/>
            <w:tcMar>
              <w:top w:w="60" w:type="dxa"/>
              <w:left w:w="110" w:type="dxa"/>
              <w:bottom w:w="60" w:type="dxa"/>
              <w:right w:w="110" w:type="dxa"/>
            </w:tcMar>
            <w:vAlign w:val="top"/>
          </w:tcPr>
          <w:p w14:paraId="0010056A" w14:textId="0010056B">
            <w:r>
              <w:rPr>
                <w:b/>
                <w:color w:val="34322D"/>
                <w:sz w:val="18"/>
              </w:rPr>
              <w:t xml:space="preserve">Level</w:t>
            </w:r>
          </w:p>
        </w:tc>
        <w:tc>
          <w:tcPr>
            <w:shd w:val="clear" w:fill="F0F0F0"/>
            <w:tcMar>
              <w:top w:w="60" w:type="dxa"/>
              <w:left w:w="110" w:type="dxa"/>
              <w:bottom w:w="60" w:type="dxa"/>
              <w:right w:w="110" w:type="dxa"/>
            </w:tcMar>
            <w:vAlign w:val="top"/>
          </w:tcPr>
          <w:p w14:paraId="0010056C" w14:textId="0010056D">
            <w:r>
              <w:rPr>
                <w:b/>
                <w:color w:val="34322D"/>
                <w:sz w:val="18"/>
              </w:rPr>
              <w:t xml:space="preserve">Acknowledgement</w:t>
            </w:r>
          </w:p>
        </w:tc>
        <w:tc>
          <w:tcPr>
            <w:shd w:val="clear" w:fill="F0F0F0"/>
            <w:tcMar>
              <w:top w:w="60" w:type="dxa"/>
              <w:left w:w="110" w:type="dxa"/>
              <w:bottom w:w="60" w:type="dxa"/>
              <w:right w:w="110" w:type="dxa"/>
            </w:tcMar>
            <w:vAlign w:val="top"/>
          </w:tcPr>
          <w:p w14:paraId="0010056E" w14:textId="0010056F">
            <w:r>
              <w:rPr>
                <w:b/>
                <w:color w:val="34322D"/>
                <w:sz w:val="18"/>
              </w:rPr>
              <w:t xml:space="preserve">Substantive response</w:t>
            </w:r>
          </w:p>
        </w:tc>
        <w:tc>
          <w:tcPr>
            <w:shd w:val="clear" w:fill="F0F0F0"/>
            <w:tcMar>
              <w:top w:w="60" w:type="dxa"/>
              <w:left w:w="110" w:type="dxa"/>
              <w:bottom w:w="60" w:type="dxa"/>
              <w:right w:w="110" w:type="dxa"/>
            </w:tcMar>
            <w:vAlign w:val="top"/>
          </w:tcPr>
          <w:p w14:paraId="00100570" w14:textId="00100571">
            <w:r>
              <w:rPr>
                <w:b/>
                <w:color w:val="34322D"/>
                <w:sz w:val="18"/>
              </w:rPr>
              <w:t xml:space="preserve">Resolution target</w:t>
            </w:r>
          </w:p>
        </w:tc>
      </w:tr>
      <w:tr>
        <w:trPr/>
        <w:tc>
          <w:tcPr>
            <w:shd w:val="clear" w:fill="F7F7F7"/>
            <w:tcMar>
              <w:top w:w="60" w:type="dxa"/>
              <w:left w:w="110" w:type="dxa"/>
              <w:bottom w:w="60" w:type="dxa"/>
              <w:right w:w="110" w:type="dxa"/>
            </w:tcMar>
            <w:vAlign w:val="top"/>
          </w:tcPr>
          <w:p w14:paraId="00100572" w14:textId="00100573">
            <w:r>
              <w:rPr>
                <w:b w:val="false"/>
                <w:sz w:val="18"/>
              </w:rPr>
              <w:t xml:space="preserve">S1 — Outage</w:t>
            </w:r>
          </w:p>
        </w:tc>
        <w:tc>
          <w:tcPr>
            <w:tcMar>
              <w:top w:w="60" w:type="dxa"/>
              <w:left w:w="110" w:type="dxa"/>
              <w:bottom w:w="60" w:type="dxa"/>
              <w:right w:w="110" w:type="dxa"/>
            </w:tcMar>
            <w:vAlign w:val="top"/>
          </w:tcPr>
          <w:p w14:paraId="00100574" w14:textId="00100575">
            <w:r>
              <w:rPr>
                <w:sz w:val="18"/>
              </w:rPr>
              <w:t xml:space="preserve">4 hours</w:t>
            </w:r>
          </w:p>
        </w:tc>
        <w:tc>
          <w:tcPr>
            <w:tcMar>
              <w:top w:w="60" w:type="dxa"/>
              <w:left w:w="110" w:type="dxa"/>
              <w:bottom w:w="60" w:type="dxa"/>
              <w:right w:w="110" w:type="dxa"/>
            </w:tcMar>
            <w:vAlign w:val="top"/>
          </w:tcPr>
          <w:p w14:paraId="00100576" w14:textId="00100577">
            <w:r>
              <w:rPr>
                <w:sz w:val="18"/>
              </w:rPr>
              <w:t xml:space="preserve">Same Business Day</w:t>
            </w:r>
          </w:p>
        </w:tc>
        <w:tc>
          <w:tcPr>
            <w:tcMar>
              <w:top w:w="60" w:type="dxa"/>
              <w:left w:w="110" w:type="dxa"/>
              <w:bottom w:w="60" w:type="dxa"/>
              <w:right w:w="110" w:type="dxa"/>
            </w:tcMar>
            <w:vAlign w:val="top"/>
          </w:tcPr>
          <w:p w14:paraId="00100578" w14:textId="00100579">
            <w:r>
              <w:rPr>
                <w:sz w:val="18"/>
              </w:rPr>
              <w:t xml:space="preserve">Best-efforts resolution; updates at least every 4 hours until resolved</w:t>
            </w:r>
          </w:p>
        </w:tc>
      </w:tr>
      <w:tr>
        <w:trPr/>
        <w:tc>
          <w:tcPr>
            <w:shd w:val="clear" w:fill="F7F7F7"/>
            <w:tcMar>
              <w:top w:w="60" w:type="dxa"/>
              <w:left w:w="110" w:type="dxa"/>
              <w:bottom w:w="60" w:type="dxa"/>
              <w:right w:w="110" w:type="dxa"/>
            </w:tcMar>
            <w:vAlign w:val="top"/>
          </w:tcPr>
          <w:p w14:paraId="0010057A" w14:textId="0010057B">
            <w:r>
              <w:rPr>
                <w:b w:val="false"/>
                <w:sz w:val="18"/>
              </w:rPr>
              <w:t xml:space="preserve">S2 — Major</w:t>
            </w:r>
          </w:p>
        </w:tc>
        <w:tc>
          <w:tcPr>
            <w:tcMar>
              <w:top w:w="60" w:type="dxa"/>
              <w:left w:w="110" w:type="dxa"/>
              <w:bottom w:w="60" w:type="dxa"/>
              <w:right w:w="110" w:type="dxa"/>
            </w:tcMar>
            <w:vAlign w:val="top"/>
          </w:tcPr>
          <w:p w14:paraId="0010057C" w14:textId="0010057D">
            <w:r>
              <w:rPr>
                <w:sz w:val="18"/>
              </w:rPr>
              <w:t xml:space="preserve">1 UAE Business Day</w:t>
            </w:r>
          </w:p>
        </w:tc>
        <w:tc>
          <w:tcPr>
            <w:tcMar>
              <w:top w:w="60" w:type="dxa"/>
              <w:left w:w="110" w:type="dxa"/>
              <w:bottom w:w="60" w:type="dxa"/>
              <w:right w:w="110" w:type="dxa"/>
            </w:tcMar>
            <w:vAlign w:val="top"/>
          </w:tcPr>
          <w:p w14:paraId="0010057E" w14:textId="0010057F">
            <w:r>
              <w:rPr>
                <w:sz w:val="18"/>
              </w:rPr>
              <w:t xml:space="preserve">2 UAE Business Days</w:t>
            </w:r>
          </w:p>
        </w:tc>
        <w:tc>
          <w:tcPr>
            <w:tcMar>
              <w:top w:w="60" w:type="dxa"/>
              <w:left w:w="110" w:type="dxa"/>
              <w:bottom w:w="60" w:type="dxa"/>
              <w:right w:w="110" w:type="dxa"/>
            </w:tcMar>
            <w:vAlign w:val="top"/>
          </w:tcPr>
          <w:p w14:paraId="00100580" w14:textId="00100581">
            <w:r>
              <w:rPr>
                <w:sz w:val="18"/>
              </w:rPr>
              <w:t xml:space="preserve">Most issues resolved within 48 hours of acknowledgement</w:t>
            </w:r>
          </w:p>
        </w:tc>
      </w:tr>
      <w:tr>
        <w:trPr/>
        <w:tc>
          <w:tcPr>
            <w:shd w:val="clear" w:fill="F7F7F7"/>
            <w:tcMar>
              <w:top w:w="60" w:type="dxa"/>
              <w:left w:w="110" w:type="dxa"/>
              <w:bottom w:w="60" w:type="dxa"/>
              <w:right w:w="110" w:type="dxa"/>
            </w:tcMar>
            <w:vAlign w:val="top"/>
          </w:tcPr>
          <w:p w14:paraId="00100582" w14:textId="00100583">
            <w:r>
              <w:rPr>
                <w:b w:val="false"/>
                <w:sz w:val="18"/>
              </w:rPr>
              <w:t xml:space="preserve">S3 — Minor or question</w:t>
            </w:r>
          </w:p>
        </w:tc>
        <w:tc>
          <w:tcPr>
            <w:tcMar>
              <w:top w:w="60" w:type="dxa"/>
              <w:left w:w="110" w:type="dxa"/>
              <w:bottom w:w="60" w:type="dxa"/>
              <w:right w:w="110" w:type="dxa"/>
            </w:tcMar>
            <w:vAlign w:val="top"/>
          </w:tcPr>
          <w:p w14:paraId="00100584" w14:textId="00100585">
            <w:r>
              <w:rPr>
                <w:sz w:val="18"/>
              </w:rPr>
              <w:t xml:space="preserve">2 UAE Business Days</w:t>
            </w:r>
          </w:p>
        </w:tc>
        <w:tc>
          <w:tcPr>
            <w:tcMar>
              <w:top w:w="60" w:type="dxa"/>
              <w:left w:w="110" w:type="dxa"/>
              <w:bottom w:w="60" w:type="dxa"/>
              <w:right w:w="110" w:type="dxa"/>
            </w:tcMar>
            <w:vAlign w:val="top"/>
          </w:tcPr>
          <w:p w14:paraId="00100586" w14:textId="00100587">
            <w:r>
              <w:rPr>
                <w:sz w:val="18"/>
              </w:rPr>
              <w:t xml:space="preserve">5 UAE Business Days</w:t>
            </w:r>
          </w:p>
        </w:tc>
        <w:tc>
          <w:tcPr>
            <w:tcMar>
              <w:top w:w="60" w:type="dxa"/>
              <w:left w:w="110" w:type="dxa"/>
              <w:bottom w:w="60" w:type="dxa"/>
              <w:right w:w="110" w:type="dxa"/>
            </w:tcMar>
            <w:vAlign w:val="top"/>
          </w:tcPr>
          <w:p w14:paraId="00100588" w14:textId="00100589">
            <w:r>
              <w:rPr>
                <w:sz w:val="18"/>
              </w:rPr>
              <w:t xml:space="preserve">Resolved or scheduled within 10 UAE Business Days</w:t>
            </w:r>
          </w:p>
        </w:tc>
      </w:tr>
    </w:tbl>
    <w:p w14:paraId="0010058A" w14:textId="0010058B">
      <w:pPr>
        <w:spacing w:after="160"/>
        <w:jc w:val="both"/>
      </w:pPr>
      <w:r>
        <w:rPr>
          <w:rFonts w:ascii="Calibri" w:hAnsi="Calibri" w:eastAsia="Calibri"/>
          <w:color w:val="34322D"/>
          <w:sz w:val="21"/>
        </w:rPr>
        <w:t xml:space="preserve">Where a fix requires a change to the software, the Provider shall confirm its diagnosis within the target period, provide a workaround where one exists, and keep the Customer updated until the fix ships. The published Support SLA and response-time policy (v1.1) sets the same Targets for the Enterprise plan.</w:t>
      </w:r>
    </w:p>
    <w:p w14:paraId="0010058C" w14:textId="0010058D">
      <w:pPr>
        <w:keepNext/>
        <w:spacing w:before="280" w:after="160"/>
        <w:jc w:val="left"/>
      </w:pPr>
      <w:r>
        <w:rPr>
          <w:rFonts w:ascii="Calibri" w:hAnsi="Calibri" w:eastAsia="Calibri"/>
          <w:b/>
          <w:color w:val="005A4B"/>
          <w:sz w:val="27"/>
        </w:rPr>
        <w:t xml:space="preserve">C3. Support scope</w:t>
      </w:r>
    </w:p>
    <w:tbl>
      <w:tblPr>
        <w:tblW w:w="5000" w:type="pct"/>
        <w:tblBorders>
          <w:top w:val="single" w:color="DCDCDC" w:sz="4"/>
          <w:left w:val="single" w:color="DCDCDC" w:sz="4"/>
          <w:bottom w:val="single" w:color="DCDCDC" w:sz="4"/>
          <w:right w:val="single" w:color="DCDCDC" w:sz="4"/>
          <w:insideH w:val="single" w:color="DCDCDC" w:sz="4"/>
          <w:insideV w:val="none" w:sz="4"/>
        </w:tblBorders>
      </w:tblPr>
      <w:tblGrid>
        <w:gridCol w:w="4536"/>
        <w:gridCol w:w="4536"/>
      </w:tblGrid>
      <w:tr>
        <w:trPr/>
        <w:tc>
          <w:tcPr>
            <w:shd w:val="clear" w:fill="F0F0F0"/>
            <w:tcMar>
              <w:top w:w="60" w:type="dxa"/>
              <w:left w:w="110" w:type="dxa"/>
              <w:bottom w:w="60" w:type="dxa"/>
              <w:right w:w="110" w:type="dxa"/>
            </w:tcMar>
            <w:vAlign w:val="top"/>
          </w:tcPr>
          <w:p w14:paraId="0010058E" w14:textId="0010058F">
            <w:r>
              <w:rPr>
                <w:b/>
                <w:color w:val="34322D"/>
                <w:sz w:val="18"/>
              </w:rPr>
              <w:t xml:space="preserve">Included</w:t>
            </w:r>
          </w:p>
        </w:tc>
        <w:tc>
          <w:tcPr>
            <w:shd w:val="clear" w:fill="F0F0F0"/>
            <w:tcMar>
              <w:top w:w="60" w:type="dxa"/>
              <w:left w:w="110" w:type="dxa"/>
              <w:bottom w:w="60" w:type="dxa"/>
              <w:right w:w="110" w:type="dxa"/>
            </w:tcMar>
            <w:vAlign w:val="top"/>
          </w:tcPr>
          <w:p w14:paraId="00100590" w14:textId="00100591">
            <w:r>
              <w:rPr>
                <w:b/>
                <w:color w:val="34322D"/>
                <w:sz w:val="18"/>
              </w:rPr>
              <w:t xml:space="preserve">Not included</w:t>
            </w:r>
          </w:p>
        </w:tc>
      </w:tr>
      <w:tr>
        <w:trPr/>
        <w:tc>
          <w:tcPr>
            <w:tcMar>
              <w:top w:w="60" w:type="dxa"/>
              <w:left w:w="110" w:type="dxa"/>
              <w:bottom w:w="60" w:type="dxa"/>
              <w:right w:w="110" w:type="dxa"/>
            </w:tcMar>
            <w:vAlign w:val="top"/>
          </w:tcPr>
          <w:p w14:paraId="00100592" w14:textId="00100593">
            <w:r>
              <w:rPr>
                <w:sz w:val="18"/>
              </w:rPr>
              <w:t xml:space="preserve">Defect reports and platform outages</w:t>
            </w:r>
          </w:p>
        </w:tc>
        <w:tc>
          <w:tcPr>
            <w:tcMar>
              <w:top w:w="60" w:type="dxa"/>
              <w:left w:w="110" w:type="dxa"/>
              <w:bottom w:w="60" w:type="dxa"/>
              <w:right w:w="110" w:type="dxa"/>
            </w:tcMar>
            <w:vAlign w:val="top"/>
          </w:tcPr>
          <w:p w14:paraId="00100594" w14:textId="00100595">
            <w:r>
              <w:rPr>
                <w:sz w:val="18"/>
              </w:rPr>
              <w:t xml:space="preserve">On-site consulting, external audits or classroom training</w:t>
            </w:r>
          </w:p>
        </w:tc>
      </w:tr>
      <w:tr>
        <w:trPr/>
        <w:tc>
          <w:tcPr>
            <w:tcMar>
              <w:top w:w="60" w:type="dxa"/>
              <w:left w:w="110" w:type="dxa"/>
              <w:bottom w:w="60" w:type="dxa"/>
              <w:right w:w="110" w:type="dxa"/>
            </w:tcMar>
            <w:vAlign w:val="top"/>
          </w:tcPr>
          <w:p w14:paraId="00100596" w14:textId="00100597">
            <w:r>
              <w:rPr>
                <w:sz w:val="18"/>
              </w:rPr>
              <w:t xml:space="preserve">Account, access, billing and invitation issues</w:t>
            </w:r>
          </w:p>
        </w:tc>
        <w:tc>
          <w:tcPr>
            <w:tcMar>
              <w:top w:w="60" w:type="dxa"/>
              <w:left w:w="110" w:type="dxa"/>
              <w:bottom w:w="60" w:type="dxa"/>
              <w:right w:w="110" w:type="dxa"/>
            </w:tcMar>
            <w:vAlign w:val="top"/>
          </w:tcPr>
          <w:p w14:paraId="00100598" w14:textId="00100599">
            <w:r>
              <w:rPr>
                <w:sz w:val="18"/>
              </w:rPr>
              <w:t xml:space="preserve">Regulatory representation or submissions on the Customer's behalf</w:t>
            </w:r>
          </w:p>
        </w:tc>
      </w:tr>
      <w:tr>
        <w:trPr/>
        <w:tc>
          <w:tcPr>
            <w:tcMar>
              <w:top w:w="60" w:type="dxa"/>
              <w:left w:w="110" w:type="dxa"/>
              <w:bottom w:w="60" w:type="dxa"/>
              <w:right w:w="110" w:type="dxa"/>
            </w:tcMar>
            <w:vAlign w:val="top"/>
          </w:tcPr>
          <w:p w14:paraId="0010059A" w14:textId="0010059B">
            <w:r>
              <w:rPr>
                <w:sz w:val="18"/>
              </w:rPr>
              <w:t xml:space="preserve">Product questions and guided setup help</w:t>
            </w:r>
          </w:p>
        </w:tc>
        <w:tc>
          <w:tcPr>
            <w:tcMar>
              <w:top w:w="60" w:type="dxa"/>
              <w:left w:w="110" w:type="dxa"/>
              <w:bottom w:w="60" w:type="dxa"/>
              <w:right w:w="110" w:type="dxa"/>
            </w:tcMar>
            <w:vAlign w:val="top"/>
          </w:tcPr>
          <w:p w14:paraId="0010059C" w14:textId="0010059D">
            <w:r>
              <w:rPr>
                <w:sz w:val="18"/>
              </w:rPr>
              <w:t xml:space="preserve">Custom development outside the published roadmap</w:t>
            </w:r>
          </w:p>
        </w:tc>
      </w:tr>
      <w:tr>
        <w:trPr/>
        <w:tc>
          <w:tcPr>
            <w:tcMar>
              <w:top w:w="60" w:type="dxa"/>
              <w:left w:w="110" w:type="dxa"/>
              <w:bottom w:w="60" w:type="dxa"/>
              <w:right w:w="110" w:type="dxa"/>
            </w:tcMar>
            <w:vAlign w:val="top"/>
          </w:tcPr>
          <w:p w14:paraId="0010059E" w14:textId="0010059F">
            <w:r>
              <w:rPr>
                <w:sz w:val="18"/>
              </w:rPr>
              <w:t xml:space="preserve">Clarification of the Provider's UAE authority report templates</w:t>
            </w:r>
          </w:p>
        </w:tc>
        <w:tc>
          <w:tcPr>
            <w:tcMar>
              <w:top w:w="60" w:type="dxa"/>
              <w:left w:w="110" w:type="dxa"/>
              <w:bottom w:w="60" w:type="dxa"/>
              <w:right w:w="110" w:type="dxa"/>
            </w:tcMar>
            <w:vAlign w:val="top"/>
          </w:tcPr>
          <w:p w14:paraId="001005A0" w14:textId="001005A1">
            <w:r>
              <w:rPr>
                <w:sz w:val="18"/>
              </w:rPr>
              <w:t xml:space="preserve">Preparation of bespoke documents beyond what the Service generates</w:t>
            </w:r>
          </w:p>
        </w:tc>
      </w:tr>
      <w:tr>
        <w:trPr/>
        <w:tc>
          <w:tcPr>
            <w:tcMar>
              <w:top w:w="60" w:type="dxa"/>
              <w:left w:w="110" w:type="dxa"/>
              <w:bottom w:w="60" w:type="dxa"/>
              <w:right w:w="110" w:type="dxa"/>
            </w:tcMar>
            <w:vAlign w:val="top"/>
          </w:tcPr>
          <w:p w14:paraId="001005A2" w14:textId="001005A3">
            <w:r>
              <w:rPr>
                <w:sz w:val="18"/>
              </w:rPr>
              <w:t xml:space="preserve">Guidance on configuration, roles and data import</w:t>
            </w:r>
          </w:p>
        </w:tc>
        <w:tc>
          <w:tcPr>
            <w:tcMar>
              <w:top w:w="60" w:type="dxa"/>
              <w:left w:w="110" w:type="dxa"/>
              <w:bottom w:w="60" w:type="dxa"/>
              <w:right w:w="110" w:type="dxa"/>
            </w:tcMar>
            <w:vAlign w:val="top"/>
          </w:tcPr>
          <w:p w14:paraId="001005A4" w14:textId="001005A5">
            <w:r>
              <w:rPr>
                <w:sz w:val="18"/>
              </w:rPr>
              <w:t xml:space="preserve">A 24-hour telephone hotline — support is email-first</w:t>
            </w:r>
          </w:p>
        </w:tc>
      </w:tr>
    </w:tbl>
    <w:p w14:paraId="001005A6" w14:textId="001005A7">
      <w:pPr>
        <w:keepNext/>
        <w:spacing w:before="280" w:after="160"/>
        <w:jc w:val="left"/>
      </w:pPr>
      <w:r>
        <w:rPr>
          <w:rFonts w:ascii="Calibri" w:hAnsi="Calibri" w:eastAsia="Calibri"/>
          <w:b/>
          <w:color w:val="005A4B"/>
          <w:sz w:val="27"/>
        </w:rPr>
        <w:t xml:space="preserve">C4. Support hours and channels</w:t>
      </w:r>
    </w:p>
    <w:tbl>
      <w:tblPr>
        <w:tblW w:w="5000" w:type="pct"/>
        <w:tblBorders>
          <w:top w:val="single" w:color="DCDCDC" w:sz="4"/>
          <w:left w:val="single" w:color="DCDCDC" w:sz="4"/>
          <w:bottom w:val="single" w:color="DCDCDC" w:sz="4"/>
          <w:right w:val="single" w:color="DCDCDC" w:sz="4"/>
          <w:insideH w:val="single" w:color="DCDCDC" w:sz="4"/>
          <w:insideV w:val="none" w:sz="4"/>
        </w:tblBorders>
      </w:tblPr>
      <w:tblGrid>
        <w:gridCol w:w="2400"/>
        <w:gridCol w:w="6672"/>
      </w:tblGrid>
      <w:tr>
        <w:trPr/>
        <w:tc>
          <w:tcPr>
            <w:shd w:val="clear" w:fill="F0F0F0"/>
            <w:tcMar>
              <w:top w:w="60" w:type="dxa"/>
              <w:left w:w="110" w:type="dxa"/>
              <w:bottom w:w="60" w:type="dxa"/>
              <w:right w:w="110" w:type="dxa"/>
            </w:tcMar>
            <w:vAlign w:val="top"/>
          </w:tcPr>
          <w:p w14:paraId="001005A8" w14:textId="001005A9">
            <w:r>
              <w:rPr>
                <w:b/>
                <w:color w:val="34322D"/>
                <w:sz w:val="18"/>
              </w:rPr>
              <w:t xml:space="preserve">Item</w:t>
            </w:r>
          </w:p>
        </w:tc>
        <w:tc>
          <w:tcPr>
            <w:shd w:val="clear" w:fill="F0F0F0"/>
            <w:tcMar>
              <w:top w:w="60" w:type="dxa"/>
              <w:left w:w="110" w:type="dxa"/>
              <w:bottom w:w="60" w:type="dxa"/>
              <w:right w:w="110" w:type="dxa"/>
            </w:tcMar>
            <w:vAlign w:val="top"/>
          </w:tcPr>
          <w:p w14:paraId="001005AA" w14:textId="001005AB">
            <w:r>
              <w:rPr>
                <w:b/>
                <w:color w:val="34322D"/>
                <w:sz w:val="18"/>
              </w:rPr>
              <w:t xml:space="preserve">Position</w:t>
            </w:r>
          </w:p>
        </w:tc>
      </w:tr>
      <w:tr>
        <w:trPr/>
        <w:tc>
          <w:tcPr>
            <w:shd w:val="clear" w:fill="F7F7F7"/>
            <w:tcMar>
              <w:top w:w="60" w:type="dxa"/>
              <w:left w:w="110" w:type="dxa"/>
              <w:bottom w:w="60" w:type="dxa"/>
              <w:right w:w="110" w:type="dxa"/>
            </w:tcMar>
            <w:vAlign w:val="top"/>
          </w:tcPr>
          <w:p w14:paraId="001005AC" w14:textId="001005AD">
            <w:r>
              <w:rPr>
                <w:b w:val="false"/>
                <w:sz w:val="18"/>
              </w:rPr>
              <w:t xml:space="preserve">Support Hours</w:t>
            </w:r>
          </w:p>
        </w:tc>
        <w:tc>
          <w:tcPr>
            <w:tcMar>
              <w:top w:w="60" w:type="dxa"/>
              <w:left w:w="110" w:type="dxa"/>
              <w:bottom w:w="60" w:type="dxa"/>
              <w:right w:w="110" w:type="dxa"/>
            </w:tcMar>
            <w:vAlign w:val="top"/>
          </w:tcPr>
          <w:p w14:paraId="001005AE" w14:textId="001005AF">
            <w:r>
              <w:rPr>
                <w:sz w:val="18"/>
              </w:rPr>
              <w:t xml:space="preserve">Sunday to Thursday, 09:00–18:00 GST, excluding public holidays in the United Arab Emirates</w:t>
            </w:r>
          </w:p>
        </w:tc>
      </w:tr>
      <w:tr>
        <w:trPr/>
        <w:tc>
          <w:tcPr>
            <w:shd w:val="clear" w:fill="F7F7F7"/>
            <w:tcMar>
              <w:top w:w="60" w:type="dxa"/>
              <w:left w:w="110" w:type="dxa"/>
              <w:bottom w:w="60" w:type="dxa"/>
              <w:right w:w="110" w:type="dxa"/>
            </w:tcMar>
            <w:vAlign w:val="top"/>
          </w:tcPr>
          <w:p w14:paraId="001005B0" w14:textId="001005B1">
            <w:r>
              <w:rPr>
                <w:b w:val="false"/>
                <w:sz w:val="18"/>
              </w:rPr>
              <w:t xml:space="preserve">Outside Support Hours</w:t>
            </w:r>
          </w:p>
        </w:tc>
        <w:tc>
          <w:tcPr>
            <w:tcMar>
              <w:top w:w="60" w:type="dxa"/>
              <w:left w:w="110" w:type="dxa"/>
              <w:bottom w:w="60" w:type="dxa"/>
              <w:right w:w="110" w:type="dxa"/>
            </w:tcMar>
            <w:vAlign w:val="top"/>
          </w:tcPr>
          <w:p w14:paraId="001005B2" w14:textId="001005B3">
            <w:r>
              <w:rPr>
                <w:sz w:val="18"/>
              </w:rPr>
              <w:t xml:space="preserve">S1 incidents are monitored on a best-efforts basis, including weekends</w:t>
            </w:r>
          </w:p>
        </w:tc>
      </w:tr>
      <w:tr>
        <w:trPr/>
        <w:tc>
          <w:tcPr>
            <w:shd w:val="clear" w:fill="F7F7F7"/>
            <w:tcMar>
              <w:top w:w="60" w:type="dxa"/>
              <w:left w:w="110" w:type="dxa"/>
              <w:bottom w:w="60" w:type="dxa"/>
              <w:right w:w="110" w:type="dxa"/>
            </w:tcMar>
            <w:vAlign w:val="top"/>
          </w:tcPr>
          <w:p w14:paraId="001005B4" w14:textId="001005B5">
            <w:r>
              <w:rPr>
                <w:b w:val="false"/>
                <w:sz w:val="18"/>
              </w:rPr>
              <w:t xml:space="preserve">Primary channel</w:t>
            </w:r>
          </w:p>
        </w:tc>
        <w:tc>
          <w:tcPr>
            <w:tcMar>
              <w:top w:w="60" w:type="dxa"/>
              <w:left w:w="110" w:type="dxa"/>
              <w:bottom w:w="60" w:type="dxa"/>
              <w:right w:w="110" w:type="dxa"/>
            </w:tcMar>
            <w:vAlign w:val="top"/>
          </w:tcPr>
          <w:p w14:paraId="001005B6" w14:textId="001005B7">
            <w:r>
              <w:rPr>
                <w:sz w:val="18"/>
              </w:rPr>
              <w:t xml:space="preserve">Email to info@sitesafetyuae.com</w:t>
            </w:r>
          </w:p>
        </w:tc>
      </w:tr>
      <w:tr>
        <w:trPr/>
        <w:tc>
          <w:tcPr>
            <w:shd w:val="clear" w:fill="F7F7F7"/>
            <w:tcMar>
              <w:top w:w="60" w:type="dxa"/>
              <w:left w:w="110" w:type="dxa"/>
              <w:bottom w:w="60" w:type="dxa"/>
              <w:right w:w="110" w:type="dxa"/>
            </w:tcMar>
            <w:vAlign w:val="top"/>
          </w:tcPr>
          <w:p w14:paraId="001005B8" w14:textId="001005B9">
            <w:r>
              <w:rPr>
                <w:b w:val="false"/>
                <w:sz w:val="18"/>
              </w:rPr>
              <w:t xml:space="preserve">Secondary channel</w:t>
            </w:r>
          </w:p>
        </w:tc>
        <w:tc>
          <w:tcPr>
            <w:tcMar>
              <w:top w:w="60" w:type="dxa"/>
              <w:left w:w="110" w:type="dxa"/>
              <w:bottom w:w="60" w:type="dxa"/>
              <w:right w:w="110" w:type="dxa"/>
            </w:tcMar>
            <w:vAlign w:val="top"/>
          </w:tcPr>
          <w:p w14:paraId="001005BA" w14:textId="001005BB">
            <w:r>
              <w:rPr>
                <w:sz w:val="18"/>
              </w:rPr>
              <w:t xml:space="preserve">In-app “Report an issue”, which is triaged first</w:t>
            </w:r>
          </w:p>
        </w:tc>
      </w:tr>
      <w:tr>
        <w:trPr/>
        <w:tc>
          <w:tcPr>
            <w:shd w:val="clear" w:fill="F7F7F7"/>
            <w:tcMar>
              <w:top w:w="60" w:type="dxa"/>
              <w:left w:w="110" w:type="dxa"/>
              <w:bottom w:w="60" w:type="dxa"/>
              <w:right w:w="110" w:type="dxa"/>
            </w:tcMar>
            <w:vAlign w:val="top"/>
          </w:tcPr>
          <w:p w14:paraId="001005BC" w14:textId="001005BD">
            <w:r>
              <w:rPr>
                <w:b w:val="false"/>
                <w:sz w:val="18"/>
              </w:rPr>
              <w:t xml:space="preserve">Named account contact</w:t>
            </w:r>
          </w:p>
        </w:tc>
        <w:tc>
          <w:tcPr>
            <w:tcMar>
              <w:top w:w="60" w:type="dxa"/>
              <w:left w:w="110" w:type="dxa"/>
              <w:bottom w:w="60" w:type="dxa"/>
              <w:right w:w="110" w:type="dxa"/>
            </w:tcMar>
            <w:vAlign w:val="top"/>
          </w:tcPr>
          <w:p w14:paraId="001005BE" w14:textId="001005BF">
            <w:r>
              <w:rPr>
                <w:sz w:val="18"/>
              </w:rPr>
              <w:t xml:space="preserve">Provided to the Customer's administrator at onboarding</w:t>
            </w:r>
          </w:p>
        </w:tc>
      </w:tr>
      <w:tr>
        <w:trPr/>
        <w:tc>
          <w:tcPr>
            <w:shd w:val="clear" w:fill="F7F7F7"/>
            <w:tcMar>
              <w:top w:w="60" w:type="dxa"/>
              <w:left w:w="110" w:type="dxa"/>
              <w:bottom w:w="60" w:type="dxa"/>
              <w:right w:w="110" w:type="dxa"/>
            </w:tcMar>
            <w:vAlign w:val="top"/>
          </w:tcPr>
          <w:p w14:paraId="001005C0" w14:textId="001005C1">
            <w:r>
              <w:rPr>
                <w:b w:val="false"/>
                <w:sz w:val="18"/>
              </w:rPr>
              <w:t xml:space="preserve">Language</w:t>
            </w:r>
          </w:p>
        </w:tc>
        <w:tc>
          <w:tcPr>
            <w:tcMar>
              <w:top w:w="60" w:type="dxa"/>
              <w:left w:w="110" w:type="dxa"/>
              <w:bottom w:w="60" w:type="dxa"/>
              <w:right w:w="110" w:type="dxa"/>
            </w:tcMar>
            <w:vAlign w:val="top"/>
          </w:tcPr>
          <w:p w14:paraId="001005C2" w14:textId="001005C3">
            <w:r>
              <w:rPr>
                <w:sz w:val="18"/>
              </w:rPr>
              <w:t xml:space="preserve">English</w:t>
            </w:r>
          </w:p>
        </w:tc>
      </w:tr>
    </w:tbl>
    <w:p w14:paraId="001005C4" w14:textId="001005C5">
      <w:pPr>
        <w:keepNext/>
        <w:spacing w:before="280" w:after="160"/>
        <w:jc w:val="left"/>
      </w:pPr>
      <w:r>
        <w:rPr>
          <w:rFonts w:ascii="Calibri" w:hAnsi="Calibri" w:eastAsia="Calibri"/>
          <w:b/>
          <w:color w:val="005A4B"/>
          <w:sz w:val="27"/>
        </w:rPr>
        <w:t xml:space="preserve">C5. Escalation path</w:t>
      </w:r>
    </w:p>
    <w:tbl>
      <w:tblPr>
        <w:tblW w:w="5000" w:type="pct"/>
        <w:tblBorders>
          <w:top w:val="single" w:color="DCDCDC" w:sz="4"/>
          <w:left w:val="single" w:color="DCDCDC" w:sz="4"/>
          <w:bottom w:val="single" w:color="DCDCDC" w:sz="4"/>
          <w:right w:val="single" w:color="DCDCDC" w:sz="4"/>
          <w:insideH w:val="single" w:color="DCDCDC" w:sz="4"/>
          <w:insideV w:val="none" w:sz="4"/>
        </w:tblBorders>
      </w:tblPr>
      <w:tblGrid>
        <w:gridCol w:w="1900"/>
        <w:gridCol w:w="3100"/>
        <w:gridCol w:w="2200"/>
        <w:gridCol w:w="1872"/>
      </w:tblGrid>
      <w:tr>
        <w:trPr/>
        <w:tc>
          <w:tcPr>
            <w:shd w:val="clear" w:fill="F0F0F0"/>
            <w:tcMar>
              <w:top w:w="60" w:type="dxa"/>
              <w:left w:w="110" w:type="dxa"/>
              <w:bottom w:w="60" w:type="dxa"/>
              <w:right w:w="110" w:type="dxa"/>
            </w:tcMar>
            <w:vAlign w:val="top"/>
          </w:tcPr>
          <w:p w14:paraId="001005C6" w14:textId="001005C7">
            <w:r>
              <w:rPr>
                <w:b/>
                <w:color w:val="34322D"/>
                <w:sz w:val="18"/>
              </w:rPr>
              <w:t xml:space="preserve">Stage</w:t>
            </w:r>
          </w:p>
        </w:tc>
        <w:tc>
          <w:tcPr>
            <w:shd w:val="clear" w:fill="F0F0F0"/>
            <w:tcMar>
              <w:top w:w="60" w:type="dxa"/>
              <w:left w:w="110" w:type="dxa"/>
              <w:bottom w:w="60" w:type="dxa"/>
              <w:right w:w="110" w:type="dxa"/>
            </w:tcMar>
            <w:vAlign w:val="top"/>
          </w:tcPr>
          <w:p w14:paraId="001005C8" w14:textId="001005C9">
            <w:r>
              <w:rPr>
                <w:b/>
                <w:color w:val="34322D"/>
                <w:sz w:val="18"/>
              </w:rPr>
              <w:t xml:space="preserve">When it applies</w:t>
            </w:r>
          </w:p>
        </w:tc>
        <w:tc>
          <w:tcPr>
            <w:shd w:val="clear" w:fill="F0F0F0"/>
            <w:tcMar>
              <w:top w:w="60" w:type="dxa"/>
              <w:left w:w="110" w:type="dxa"/>
              <w:bottom w:w="60" w:type="dxa"/>
              <w:right w:w="110" w:type="dxa"/>
            </w:tcMar>
            <w:vAlign w:val="top"/>
          </w:tcPr>
          <w:p w14:paraId="001005CA" w14:textId="001005CB">
            <w:r>
              <w:rPr>
                <w:b/>
                <w:color w:val="34322D"/>
                <w:sz w:val="18"/>
              </w:rPr>
              <w:t xml:space="preserve">Who is involved</w:t>
            </w:r>
          </w:p>
        </w:tc>
        <w:tc>
          <w:tcPr>
            <w:shd w:val="clear" w:fill="F0F0F0"/>
            <w:tcMar>
              <w:top w:w="60" w:type="dxa"/>
              <w:left w:w="110" w:type="dxa"/>
              <w:bottom w:w="60" w:type="dxa"/>
              <w:right w:w="110" w:type="dxa"/>
            </w:tcMar>
            <w:vAlign w:val="top"/>
          </w:tcPr>
          <w:p w14:paraId="001005CC" w14:textId="001005CD">
            <w:r>
              <w:rPr>
                <w:b/>
                <w:color w:val="34322D"/>
                <w:sz w:val="18"/>
              </w:rPr>
              <w:t xml:space="preserve">Target</w:t>
            </w:r>
          </w:p>
        </w:tc>
      </w:tr>
      <w:tr>
        <w:trPr/>
        <w:tc>
          <w:tcPr>
            <w:shd w:val="clear" w:fill="F7F7F7"/>
            <w:tcMar>
              <w:top w:w="60" w:type="dxa"/>
              <w:left w:w="110" w:type="dxa"/>
              <w:bottom w:w="60" w:type="dxa"/>
              <w:right w:w="110" w:type="dxa"/>
            </w:tcMar>
            <w:vAlign w:val="top"/>
          </w:tcPr>
          <w:p w14:paraId="001005CE" w14:textId="001005CF">
            <w:r>
              <w:rPr>
                <w:b w:val="false"/>
                <w:sz w:val="18"/>
              </w:rPr>
              <w:t xml:space="preserve">1 — Support</w:t>
            </w:r>
          </w:p>
        </w:tc>
        <w:tc>
          <w:tcPr>
            <w:tcMar>
              <w:top w:w="60" w:type="dxa"/>
              <w:left w:w="110" w:type="dxa"/>
              <w:bottom w:w="60" w:type="dxa"/>
              <w:right w:w="110" w:type="dxa"/>
            </w:tcMar>
            <w:vAlign w:val="top"/>
          </w:tcPr>
          <w:p w14:paraId="001005D0" w14:textId="001005D1">
            <w:r>
              <w:rPr>
                <w:sz w:val="18"/>
              </w:rPr>
              <w:t xml:space="preserve">On raising a ticket</w:t>
            </w:r>
          </w:p>
        </w:tc>
        <w:tc>
          <w:tcPr>
            <w:tcMar>
              <w:top w:w="60" w:type="dxa"/>
              <w:left w:w="110" w:type="dxa"/>
              <w:bottom w:w="60" w:type="dxa"/>
              <w:right w:w="110" w:type="dxa"/>
            </w:tcMar>
            <w:vAlign w:val="top"/>
          </w:tcPr>
          <w:p w14:paraId="001005D2" w14:textId="001005D3">
            <w:r>
              <w:rPr>
                <w:sz w:val="18"/>
              </w:rPr>
              <w:t xml:space="preserve">Provider support (founder-led)</w:t>
            </w:r>
          </w:p>
        </w:tc>
        <w:tc>
          <w:tcPr>
            <w:tcMar>
              <w:top w:w="60" w:type="dxa"/>
              <w:left w:w="110" w:type="dxa"/>
              <w:bottom w:w="60" w:type="dxa"/>
              <w:right w:w="110" w:type="dxa"/>
            </w:tcMar>
            <w:vAlign w:val="top"/>
          </w:tcPr>
          <w:p w14:paraId="001005D4" w14:textId="001005D5">
            <w:r>
              <w:rPr>
                <w:sz w:val="18"/>
              </w:rPr>
              <w:t xml:space="preserve">Per C2</w:t>
            </w:r>
          </w:p>
        </w:tc>
      </w:tr>
      <w:tr>
        <w:trPr/>
        <w:tc>
          <w:tcPr>
            <w:shd w:val="clear" w:fill="F7F7F7"/>
            <w:tcMar>
              <w:top w:w="60" w:type="dxa"/>
              <w:left w:w="110" w:type="dxa"/>
              <w:bottom w:w="60" w:type="dxa"/>
              <w:right w:w="110" w:type="dxa"/>
            </w:tcMar>
            <w:vAlign w:val="top"/>
          </w:tcPr>
          <w:p w14:paraId="001005D6" w14:textId="001005D7">
            <w:r>
              <w:rPr>
                <w:b w:val="false"/>
                <w:sz w:val="18"/>
              </w:rPr>
              <w:t xml:space="preserve">2 — Account escalation</w:t>
            </w:r>
          </w:p>
        </w:tc>
        <w:tc>
          <w:tcPr>
            <w:tcMar>
              <w:top w:w="60" w:type="dxa"/>
              <w:left w:w="110" w:type="dxa"/>
              <w:bottom w:w="60" w:type="dxa"/>
              <w:right w:w="110" w:type="dxa"/>
            </w:tcMar>
            <w:vAlign w:val="top"/>
          </w:tcPr>
          <w:p w14:paraId="001005D8" w14:textId="001005D9">
            <w:r>
              <w:rPr>
                <w:sz w:val="18"/>
              </w:rPr>
              <w:t xml:space="preserve">An S1 or S2 is unresolved beyond its target, or the Customer disputes a Severity Level</w:t>
            </w:r>
          </w:p>
        </w:tc>
        <w:tc>
          <w:tcPr>
            <w:tcMar>
              <w:top w:w="60" w:type="dxa"/>
              <w:left w:w="110" w:type="dxa"/>
              <w:bottom w:w="60" w:type="dxa"/>
              <w:right w:w="110" w:type="dxa"/>
            </w:tcMar>
            <w:vAlign w:val="top"/>
          </w:tcPr>
          <w:p w14:paraId="001005DA" w14:textId="001005DB">
            <w:r>
              <w:rPr>
                <w:sz w:val="18"/>
              </w:rPr>
              <w:t xml:space="preserve">Named account contact</w:t>
            </w:r>
          </w:p>
        </w:tc>
        <w:tc>
          <w:tcPr>
            <w:tcMar>
              <w:top w:w="60" w:type="dxa"/>
              <w:left w:w="110" w:type="dxa"/>
              <w:bottom w:w="60" w:type="dxa"/>
              <w:right w:w="110" w:type="dxa"/>
            </w:tcMar>
            <w:vAlign w:val="top"/>
          </w:tcPr>
          <w:p w14:paraId="001005DC" w14:textId="001005DD">
            <w:r>
              <w:rPr>
                <w:sz w:val="18"/>
              </w:rPr>
              <w:t xml:space="preserve">1 UAE Business Day</w:t>
            </w:r>
          </w:p>
        </w:tc>
      </w:tr>
      <w:tr>
        <w:trPr/>
        <w:tc>
          <w:tcPr>
            <w:shd w:val="clear" w:fill="F7F7F7"/>
            <w:tcMar>
              <w:top w:w="60" w:type="dxa"/>
              <w:left w:w="110" w:type="dxa"/>
              <w:bottom w:w="60" w:type="dxa"/>
              <w:right w:w="110" w:type="dxa"/>
            </w:tcMar>
            <w:vAlign w:val="top"/>
          </w:tcPr>
          <w:p w14:paraId="001005DE" w14:textId="001005DF">
            <w:r>
              <w:rPr>
                <w:b w:val="false"/>
                <w:sz w:val="18"/>
              </w:rPr>
              <w:t xml:space="preserve">3 — Founding team</w:t>
            </w:r>
          </w:p>
        </w:tc>
        <w:tc>
          <w:tcPr>
            <w:tcMar>
              <w:top w:w="60" w:type="dxa"/>
              <w:left w:w="110" w:type="dxa"/>
              <w:bottom w:w="60" w:type="dxa"/>
              <w:right w:w="110" w:type="dxa"/>
            </w:tcMar>
            <w:vAlign w:val="top"/>
          </w:tcPr>
          <w:p w14:paraId="001005E0" w14:textId="001005E1">
            <w:r>
              <w:rPr>
                <w:sz w:val="18"/>
              </w:rPr>
              <w:t xml:space="preserve">An S1 is unresolved beyond 24 hours, or an escalation at stage 2 is not resolved</w:t>
            </w:r>
          </w:p>
        </w:tc>
        <w:tc>
          <w:tcPr>
            <w:tcMar>
              <w:top w:w="60" w:type="dxa"/>
              <w:left w:w="110" w:type="dxa"/>
              <w:bottom w:w="60" w:type="dxa"/>
              <w:right w:w="110" w:type="dxa"/>
            </w:tcMar>
            <w:vAlign w:val="top"/>
          </w:tcPr>
          <w:p w14:paraId="001005E2" w14:textId="001005E3">
            <w:r>
              <w:rPr>
                <w:sz w:val="18"/>
              </w:rPr>
              <w:t xml:space="preserve">Founding team</w:t>
            </w:r>
          </w:p>
        </w:tc>
        <w:tc>
          <w:tcPr>
            <w:tcMar>
              <w:top w:w="60" w:type="dxa"/>
              <w:left w:w="110" w:type="dxa"/>
              <w:bottom w:w="60" w:type="dxa"/>
              <w:right w:w="110" w:type="dxa"/>
            </w:tcMar>
            <w:vAlign w:val="top"/>
          </w:tcPr>
          <w:p w14:paraId="001005E4" w14:textId="001005E5">
            <w:r>
              <w:rPr>
                <w:sz w:val="18"/>
              </w:rPr>
              <w:t xml:space="preserve">Same Business Day</w:t>
            </w:r>
          </w:p>
        </w:tc>
      </w:tr>
      <w:tr>
        <w:trPr/>
        <w:tc>
          <w:tcPr>
            <w:shd w:val="clear" w:fill="F7F7F7"/>
            <w:tcMar>
              <w:top w:w="60" w:type="dxa"/>
              <w:left w:w="110" w:type="dxa"/>
              <w:bottom w:w="60" w:type="dxa"/>
              <w:right w:w="110" w:type="dxa"/>
            </w:tcMar>
            <w:vAlign w:val="top"/>
          </w:tcPr>
          <w:p w14:paraId="001005E6" w14:textId="001005E7">
            <w:r>
              <w:rPr>
                <w:b w:val="false"/>
                <w:sz w:val="18"/>
              </w:rPr>
              <w:t xml:space="preserve">4 — Contractual escalation</w:t>
            </w:r>
          </w:p>
        </w:tc>
        <w:tc>
          <w:tcPr>
            <w:tcMar>
              <w:top w:w="60" w:type="dxa"/>
              <w:left w:w="110" w:type="dxa"/>
              <w:bottom w:w="60" w:type="dxa"/>
              <w:right w:w="110" w:type="dxa"/>
            </w:tcMar>
            <w:vAlign w:val="top"/>
          </w:tcPr>
          <w:p w14:paraId="001005E8" w14:textId="001005E9">
            <w:r>
              <w:rPr>
                <w:sz w:val="18"/>
              </w:rPr>
              <w:t xml:space="preserve">The dispute concerns the interpretation of this Agreement</w:t>
            </w:r>
          </w:p>
        </w:tc>
        <w:tc>
          <w:tcPr>
            <w:tcMar>
              <w:top w:w="60" w:type="dxa"/>
              <w:left w:w="110" w:type="dxa"/>
              <w:bottom w:w="60" w:type="dxa"/>
              <w:right w:w="110" w:type="dxa"/>
            </w:tcMar>
            <w:vAlign w:val="top"/>
          </w:tcPr>
          <w:p w14:paraId="001005EA" w14:textId="001005EB">
            <w:r>
              <w:rPr>
                <w:sz w:val="18"/>
              </w:rPr>
              <w:t xml:space="preserve">Senior representatives of each Party (clause 25.3)</w:t>
            </w:r>
          </w:p>
        </w:tc>
        <w:tc>
          <w:tcPr>
            <w:tcMar>
              <w:top w:w="60" w:type="dxa"/>
              <w:left w:w="110" w:type="dxa"/>
              <w:bottom w:w="60" w:type="dxa"/>
              <w:right w:w="110" w:type="dxa"/>
            </w:tcMar>
            <w:vAlign w:val="top"/>
          </w:tcPr>
          <w:p w14:paraId="001005EC" w14:textId="001005ED">
            <w:r>
              <w:rPr>
                <w:sz w:val="18"/>
              </w:rPr>
              <w:t xml:space="preserve">Meeting within 10 Business Days</w:t>
            </w:r>
          </w:p>
        </w:tc>
      </w:tr>
    </w:tbl>
    <w:p w14:paraId="001005EE" w14:textId="001005EF">
      <w:pPr>
        <w:pStyle w:val="Heading1"/>
        <w:keepNext/>
        <w:keepLines/>
        <w:pageBreakBefore/>
        <w:spacing w:before="360" w:after="160"/>
      </w:pPr>
      <w:r>
        <w:rPr>
          <w:rFonts w:ascii="Calibri" w:hAnsi="Calibri" w:eastAsia="Calibri"/>
          <w:b/>
          <w:color w:val="005A4B"/>
          <w:sz w:val="30"/>
        </w:rPr>
        <w:t xml:space="preserve">Schedule D — Security controls and shared responsibility</w:t>
      </w:r>
    </w:p>
    <w:p w14:paraId="001005F0" w14:textId="001005F1">
      <w:pPr>
        <w:keepNext/>
        <w:spacing w:before="0" w:after="160"/>
        <w:jc w:val="left"/>
      </w:pPr>
      <w:r>
        <w:rPr>
          <w:rFonts w:ascii="Calibri" w:hAnsi="Calibri" w:eastAsia="Calibri"/>
          <w:b/>
          <w:color w:val="005A4B"/>
          <w:sz w:val="27"/>
        </w:rPr>
        <w:t xml:space="preserve">D1. Controls in place</w:t>
      </w:r>
    </w:p>
    <w:tbl>
      <w:tblPr>
        <w:tblW w:w="5000" w:type="pct"/>
        <w:tblBorders>
          <w:top w:val="single" w:color="DCDCDC" w:sz="4"/>
          <w:left w:val="single" w:color="DCDCDC" w:sz="4"/>
          <w:bottom w:val="single" w:color="DCDCDC" w:sz="4"/>
          <w:right w:val="single" w:color="DCDCDC" w:sz="4"/>
          <w:insideH w:val="single" w:color="DCDCDC" w:sz="4"/>
          <w:insideV w:val="none" w:sz="4"/>
        </w:tblBorders>
      </w:tblPr>
      <w:tblGrid>
        <w:gridCol w:w="2300"/>
        <w:gridCol w:w="6772"/>
      </w:tblGrid>
      <w:tr>
        <w:trPr/>
        <w:tc>
          <w:tcPr>
            <w:shd w:val="clear" w:fill="F0F0F0"/>
            <w:tcMar>
              <w:top w:w="60" w:type="dxa"/>
              <w:left w:w="110" w:type="dxa"/>
              <w:bottom w:w="60" w:type="dxa"/>
              <w:right w:w="110" w:type="dxa"/>
            </w:tcMar>
            <w:vAlign w:val="top"/>
          </w:tcPr>
          <w:p w14:paraId="001005F2" w14:textId="001005F3">
            <w:r>
              <w:rPr>
                <w:b/>
                <w:color w:val="34322D"/>
                <w:sz w:val="18"/>
              </w:rPr>
              <w:t xml:space="preserve">Control</w:t>
            </w:r>
          </w:p>
        </w:tc>
        <w:tc>
          <w:tcPr>
            <w:shd w:val="clear" w:fill="F0F0F0"/>
            <w:tcMar>
              <w:top w:w="60" w:type="dxa"/>
              <w:left w:w="110" w:type="dxa"/>
              <w:bottom w:w="60" w:type="dxa"/>
              <w:right w:w="110" w:type="dxa"/>
            </w:tcMar>
            <w:vAlign w:val="top"/>
          </w:tcPr>
          <w:p w14:paraId="001005F4" w14:textId="001005F5">
            <w:r>
              <w:rPr>
                <w:b/>
                <w:color w:val="34322D"/>
                <w:sz w:val="18"/>
              </w:rPr>
              <w:t xml:space="preserve">Position</w:t>
            </w:r>
          </w:p>
        </w:tc>
      </w:tr>
      <w:tr>
        <w:trPr/>
        <w:tc>
          <w:tcPr>
            <w:shd w:val="clear" w:fill="F7F7F7"/>
            <w:tcMar>
              <w:top w:w="60" w:type="dxa"/>
              <w:left w:w="110" w:type="dxa"/>
              <w:bottom w:w="60" w:type="dxa"/>
              <w:right w:w="110" w:type="dxa"/>
            </w:tcMar>
            <w:vAlign w:val="top"/>
          </w:tcPr>
          <w:p w14:paraId="001005F6" w14:textId="001005F7">
            <w:r>
              <w:rPr>
                <w:b w:val="false"/>
                <w:sz w:val="18"/>
              </w:rPr>
              <w:t xml:space="preserve">Encryption in transit</w:t>
            </w:r>
          </w:p>
        </w:tc>
        <w:tc>
          <w:tcPr>
            <w:tcMar>
              <w:top w:w="60" w:type="dxa"/>
              <w:left w:w="110" w:type="dxa"/>
              <w:bottom w:w="60" w:type="dxa"/>
              <w:right w:w="110" w:type="dxa"/>
            </w:tcMar>
            <w:vAlign w:val="top"/>
          </w:tcPr>
          <w:p w14:paraId="001005F8" w14:textId="001005F9">
            <w:r>
              <w:rPr>
                <w:sz w:val="18"/>
              </w:rPr>
              <w:t xml:space="preserve">All traffic served over HTTPS (TLS).</w:t>
            </w:r>
          </w:p>
        </w:tc>
      </w:tr>
      <w:tr>
        <w:trPr/>
        <w:tc>
          <w:tcPr>
            <w:shd w:val="clear" w:fill="F7F7F7"/>
            <w:tcMar>
              <w:top w:w="60" w:type="dxa"/>
              <w:left w:w="110" w:type="dxa"/>
              <w:bottom w:w="60" w:type="dxa"/>
              <w:right w:w="110" w:type="dxa"/>
            </w:tcMar>
            <w:vAlign w:val="top"/>
          </w:tcPr>
          <w:p w14:paraId="001005FA" w14:textId="001005FB">
            <w:r>
              <w:rPr>
                <w:b w:val="false"/>
                <w:sz w:val="18"/>
              </w:rPr>
              <w:t xml:space="preserve">Encryption at rest</w:t>
            </w:r>
          </w:p>
        </w:tc>
        <w:tc>
          <w:tcPr>
            <w:tcMar>
              <w:top w:w="60" w:type="dxa"/>
              <w:left w:w="110" w:type="dxa"/>
              <w:bottom w:w="60" w:type="dxa"/>
              <w:right w:w="110" w:type="dxa"/>
            </w:tcMar>
            <w:vAlign w:val="top"/>
          </w:tcPr>
          <w:p w14:paraId="001005FC" w14:textId="001005FD">
            <w:r>
              <w:rPr>
                <w:sz w:val="18"/>
              </w:rPr>
              <w:t xml:space="preserve">Data stored on managed PostgreSQL with provider-managed encryption at rest.</w:t>
            </w:r>
          </w:p>
        </w:tc>
      </w:tr>
      <w:tr>
        <w:trPr/>
        <w:tc>
          <w:tcPr>
            <w:shd w:val="clear" w:fill="F7F7F7"/>
            <w:tcMar>
              <w:top w:w="60" w:type="dxa"/>
              <w:left w:w="110" w:type="dxa"/>
              <w:bottom w:w="60" w:type="dxa"/>
              <w:right w:w="110" w:type="dxa"/>
            </w:tcMar>
            <w:vAlign w:val="top"/>
          </w:tcPr>
          <w:p w14:paraId="001005FE" w14:textId="001005FF">
            <w:r>
              <w:rPr>
                <w:b w:val="false"/>
                <w:sz w:val="18"/>
              </w:rPr>
              <w:t xml:space="preserve">Row-level access control</w:t>
            </w:r>
          </w:p>
        </w:tc>
        <w:tc>
          <w:tcPr>
            <w:tcMar>
              <w:top w:w="60" w:type="dxa"/>
              <w:left w:w="110" w:type="dxa"/>
              <w:bottom w:w="60" w:type="dxa"/>
              <w:right w:w="110" w:type="dxa"/>
            </w:tcMar>
            <w:vAlign w:val="top"/>
          </w:tcPr>
          <w:p w14:paraId="00100600" w14:textId="00100601">
            <w:r>
              <w:rPr>
                <w:sz w:val="18"/>
              </w:rPr>
              <w:t xml:space="preserve">Every record is scoped to the Customer's organisation and site. Row-level security policies are enforced in the database, not only in the interface.</w:t>
            </w:r>
          </w:p>
        </w:tc>
      </w:tr>
      <w:tr>
        <w:trPr/>
        <w:tc>
          <w:tcPr>
            <w:shd w:val="clear" w:fill="F7F7F7"/>
            <w:tcMar>
              <w:top w:w="60" w:type="dxa"/>
              <w:left w:w="110" w:type="dxa"/>
              <w:bottom w:w="60" w:type="dxa"/>
              <w:right w:w="110" w:type="dxa"/>
            </w:tcMar>
            <w:vAlign w:val="top"/>
          </w:tcPr>
          <w:p w14:paraId="00100602" w14:textId="00100603">
            <w:r>
              <w:rPr>
                <w:b w:val="false"/>
                <w:sz w:val="18"/>
              </w:rPr>
              <w:t xml:space="preserve">Role-based permissions</w:t>
            </w:r>
          </w:p>
        </w:tc>
        <w:tc>
          <w:tcPr>
            <w:tcMar>
              <w:top w:w="60" w:type="dxa"/>
              <w:left w:w="110" w:type="dxa"/>
              <w:bottom w:w="60" w:type="dxa"/>
              <w:right w:w="110" w:type="dxa"/>
            </w:tcMar>
            <w:vAlign w:val="top"/>
          </w:tcPr>
          <w:p w14:paraId="00100604" w14:textId="00100605">
            <w:r>
              <w:rPr>
                <w:sz w:val="18"/>
              </w:rPr>
              <w:t xml:space="preserve">Administrator, Manager, Supervisor and Viewer roles, stored separately from user profiles and checked on the server.</w:t>
            </w:r>
          </w:p>
        </w:tc>
      </w:tr>
      <w:tr>
        <w:trPr/>
        <w:tc>
          <w:tcPr>
            <w:shd w:val="clear" w:fill="F7F7F7"/>
            <w:tcMar>
              <w:top w:w="60" w:type="dxa"/>
              <w:left w:w="110" w:type="dxa"/>
              <w:bottom w:w="60" w:type="dxa"/>
              <w:right w:w="110" w:type="dxa"/>
            </w:tcMar>
            <w:vAlign w:val="top"/>
          </w:tcPr>
          <w:p w14:paraId="00100606" w14:textId="00100607">
            <w:r>
              <w:rPr>
                <w:b w:val="false"/>
                <w:sz w:val="18"/>
              </w:rPr>
              <w:t xml:space="preserve">Company-email restriction</w:t>
            </w:r>
          </w:p>
        </w:tc>
        <w:tc>
          <w:tcPr>
            <w:tcMar>
              <w:top w:w="60" w:type="dxa"/>
              <w:left w:w="110" w:type="dxa"/>
              <w:bottom w:w="60" w:type="dxa"/>
              <w:right w:w="110" w:type="dxa"/>
            </w:tcMar>
            <w:vAlign w:val="top"/>
          </w:tcPr>
          <w:p w14:paraId="00100608" w14:textId="00100609">
            <w:r>
              <w:rPr>
                <w:sz w:val="18"/>
              </w:rPr>
              <w:t xml:space="preserve">Workspace access can be restricted to the Customer's email domain; invitations and password resets use verified email flows.</w:t>
            </w:r>
          </w:p>
        </w:tc>
      </w:tr>
      <w:tr>
        <w:trPr/>
        <w:tc>
          <w:tcPr>
            <w:shd w:val="clear" w:fill="F7F7F7"/>
            <w:tcMar>
              <w:top w:w="60" w:type="dxa"/>
              <w:left w:w="110" w:type="dxa"/>
              <w:bottom w:w="60" w:type="dxa"/>
              <w:right w:w="110" w:type="dxa"/>
            </w:tcMar>
            <w:vAlign w:val="top"/>
          </w:tcPr>
          <w:p w14:paraId="0010060A" w14:textId="0010060B">
            <w:r>
              <w:rPr>
                <w:b w:val="false"/>
                <w:sz w:val="18"/>
              </w:rPr>
              <w:t xml:space="preserve">Private document storage</w:t>
            </w:r>
          </w:p>
        </w:tc>
        <w:tc>
          <w:tcPr>
            <w:tcMar>
              <w:top w:w="60" w:type="dxa"/>
              <w:left w:w="110" w:type="dxa"/>
              <w:bottom w:w="60" w:type="dxa"/>
              <w:right w:w="110" w:type="dxa"/>
            </w:tcMar>
            <w:vAlign w:val="top"/>
          </w:tcPr>
          <w:p w14:paraId="0010060C" w14:textId="0010060D">
            <w:r>
              <w:rPr>
                <w:sz w:val="18"/>
              </w:rPr>
              <w:t xml:space="preserve">Uploaded documents and photos are held in private buckets and accessed through short-lived signed URLs. No public links.</w:t>
            </w:r>
          </w:p>
        </w:tc>
      </w:tr>
      <w:tr>
        <w:trPr/>
        <w:tc>
          <w:tcPr>
            <w:shd w:val="clear" w:fill="F7F7F7"/>
            <w:tcMar>
              <w:top w:w="60" w:type="dxa"/>
              <w:left w:w="110" w:type="dxa"/>
              <w:bottom w:w="60" w:type="dxa"/>
              <w:right w:w="110" w:type="dxa"/>
            </w:tcMar>
            <w:vAlign w:val="top"/>
          </w:tcPr>
          <w:p w14:paraId="0010060E" w14:textId="0010060F">
            <w:r>
              <w:rPr>
                <w:b w:val="false"/>
                <w:sz w:val="18"/>
              </w:rPr>
              <w:t xml:space="preserve">Audit trail</w:t>
            </w:r>
          </w:p>
        </w:tc>
        <w:tc>
          <w:tcPr>
            <w:tcMar>
              <w:top w:w="60" w:type="dxa"/>
              <w:left w:w="110" w:type="dxa"/>
              <w:bottom w:w="60" w:type="dxa"/>
              <w:right w:w="110" w:type="dxa"/>
            </w:tcMar>
            <w:vAlign w:val="top"/>
          </w:tcPr>
          <w:p w14:paraId="00100610" w14:textId="00100611">
            <w:r>
              <w:rPr>
                <w:sz w:val="18"/>
              </w:rPr>
              <w:t xml:space="preserve">Document versions, permit signatures, acknowledgements, exports and administrative actions are recorded with user, timestamp and context, and can be exported.</w:t>
            </w:r>
          </w:p>
        </w:tc>
      </w:tr>
      <w:tr>
        <w:trPr/>
        <w:tc>
          <w:tcPr>
            <w:shd w:val="clear" w:fill="F7F7F7"/>
            <w:tcMar>
              <w:top w:w="60" w:type="dxa"/>
              <w:left w:w="110" w:type="dxa"/>
              <w:bottom w:w="60" w:type="dxa"/>
              <w:right w:w="110" w:type="dxa"/>
            </w:tcMar>
            <w:vAlign w:val="top"/>
          </w:tcPr>
          <w:p w14:paraId="00100612" w14:textId="00100613">
            <w:r>
              <w:rPr>
                <w:b w:val="false"/>
                <w:sz w:val="18"/>
              </w:rPr>
              <w:t xml:space="preserve">Multi-factor authentication</w:t>
            </w:r>
          </w:p>
        </w:tc>
        <w:tc>
          <w:tcPr>
            <w:tcMar>
              <w:top w:w="60" w:type="dxa"/>
              <w:left w:w="110" w:type="dxa"/>
              <w:bottom w:w="60" w:type="dxa"/>
              <w:right w:w="110" w:type="dxa"/>
            </w:tcMar>
            <w:vAlign w:val="top"/>
          </w:tcPr>
          <w:p w14:paraId="00100614" w14:textId="00100615">
            <w:r>
              <w:rPr>
                <w:sz w:val="18"/>
              </w:rPr>
              <w:t xml:space="preserve">Available and optional for user accounts; enabled on request for the Customer's administrators.</w:t>
            </w:r>
          </w:p>
        </w:tc>
      </w:tr>
      <w:tr>
        <w:trPr/>
        <w:tc>
          <w:tcPr>
            <w:shd w:val="clear" w:fill="F7F7F7"/>
            <w:tcMar>
              <w:top w:w="60" w:type="dxa"/>
              <w:left w:w="110" w:type="dxa"/>
              <w:bottom w:w="60" w:type="dxa"/>
              <w:right w:w="110" w:type="dxa"/>
            </w:tcMar>
            <w:vAlign w:val="top"/>
          </w:tcPr>
          <w:p w14:paraId="00100616" w14:textId="00100617">
            <w:r>
              <w:rPr>
                <w:b w:val="false"/>
                <w:sz w:val="18"/>
              </w:rPr>
              <w:t xml:space="preserve">Password controls</w:t>
            </w:r>
          </w:p>
        </w:tc>
        <w:tc>
          <w:tcPr>
            <w:tcMar>
              <w:top w:w="60" w:type="dxa"/>
              <w:left w:w="110" w:type="dxa"/>
              <w:bottom w:w="60" w:type="dxa"/>
              <w:right w:w="110" w:type="dxa"/>
            </w:tcMar>
            <w:vAlign w:val="top"/>
          </w:tcPr>
          <w:p w14:paraId="00100618" w14:textId="00100619">
            <w:r>
              <w:rPr>
                <w:sz w:val="18"/>
              </w:rPr>
              <w:t xml:space="preserve">Passwords are never stored in plain text; checks are run against known-compromised passwords.</w:t>
            </w:r>
          </w:p>
        </w:tc>
      </w:tr>
      <w:tr>
        <w:trPr/>
        <w:tc>
          <w:tcPr>
            <w:shd w:val="clear" w:fill="F7F7F7"/>
            <w:tcMar>
              <w:top w:w="60" w:type="dxa"/>
              <w:left w:w="110" w:type="dxa"/>
              <w:bottom w:w="60" w:type="dxa"/>
              <w:right w:w="110" w:type="dxa"/>
            </w:tcMar>
            <w:vAlign w:val="top"/>
          </w:tcPr>
          <w:p w14:paraId="0010061A" w14:textId="0010061B">
            <w:r>
              <w:rPr>
                <w:b w:val="false"/>
                <w:sz w:val="18"/>
              </w:rPr>
              <w:t xml:space="preserve">Vulnerability reporting</w:t>
            </w:r>
          </w:p>
        </w:tc>
        <w:tc>
          <w:tcPr>
            <w:tcMar>
              <w:top w:w="60" w:type="dxa"/>
              <w:left w:w="110" w:type="dxa"/>
              <w:bottom w:w="60" w:type="dxa"/>
              <w:right w:w="110" w:type="dxa"/>
            </w:tcMar>
            <w:vAlign w:val="top"/>
          </w:tcPr>
          <w:p w14:paraId="0010061C" w14:textId="0010061D">
            <w:r>
              <w:rPr>
                <w:sz w:val="18"/>
              </w:rPr>
              <w:t xml:space="preserve">Reports acknowledged within two (2) UAE Business Days; see clause 10.4.</w:t>
            </w:r>
          </w:p>
        </w:tc>
      </w:tr>
      <w:tr>
        <w:trPr/>
        <w:tc>
          <w:tcPr>
            <w:shd w:val="clear" w:fill="F7F7F7"/>
            <w:tcMar>
              <w:top w:w="60" w:type="dxa"/>
              <w:left w:w="110" w:type="dxa"/>
              <w:bottom w:w="60" w:type="dxa"/>
              <w:right w:w="110" w:type="dxa"/>
            </w:tcMar>
            <w:vAlign w:val="top"/>
          </w:tcPr>
          <w:p w14:paraId="0010061E" w14:textId="0010061F">
            <w:r>
              <w:rPr>
                <w:b w:val="false"/>
                <w:sz w:val="18"/>
              </w:rPr>
              <w:t xml:space="preserve">Monitoring</w:t>
            </w:r>
          </w:p>
        </w:tc>
        <w:tc>
          <w:tcPr>
            <w:tcMar>
              <w:top w:w="60" w:type="dxa"/>
              <w:left w:w="110" w:type="dxa"/>
              <w:bottom w:w="60" w:type="dxa"/>
              <w:right w:w="110" w:type="dxa"/>
            </w:tcMar>
            <w:vAlign w:val="top"/>
          </w:tcPr>
          <w:p w14:paraId="00100620" w14:textId="00100621">
            <w:r>
              <w:rPr>
                <w:sz w:val="18"/>
              </w:rPr>
              <w:t xml:space="preserve">Continuous uptime monitoring, automated outage alerting and a public health endpoint.</w:t>
            </w:r>
          </w:p>
        </w:tc>
      </w:tr>
    </w:tbl>
    <w:p w14:paraId="00100622" w14:textId="00100623">
      <w:pPr>
        <w:keepNext/>
        <w:spacing w:before="480" w:after="160"/>
        <w:jc w:val="left"/>
      </w:pPr>
      <w:r>
        <w:rPr>
          <w:rFonts w:ascii="Calibri" w:hAnsi="Calibri" w:eastAsia="Calibri"/>
          <w:b/>
          <w:color w:val="005A4B"/>
          <w:sz w:val="27"/>
        </w:rPr>
        <w:t xml:space="preserve">D2. Controls not in place at the Effective Date</w:t>
      </w:r>
    </w:p>
    <w:p w14:paraId="00100624" w14:textId="00100625">
      <w:pPr>
        <w:spacing w:after="160"/>
        <w:jc w:val="both"/>
      </w:pPr>
      <w:r>
        <w:rPr>
          <w:rFonts w:ascii="Calibri" w:hAnsi="Calibri" w:eastAsia="Calibri"/>
          <w:color w:val="34322D"/>
          <w:sz w:val="21"/>
        </w:rPr>
        <w:t xml:space="preserve">The Provider states these plainly rather than implying otherwise. They are material to the Customer's risk assessment and are repeated in clause 10.2.</w:t>
      </w:r>
    </w:p>
    <w:tbl>
      <w:tblPr>
        <w:tblW w:w="5000" w:type="pct"/>
        <w:tblBorders>
          <w:top w:val="single" w:color="DCDCDC" w:sz="4"/>
          <w:left w:val="single" w:color="DCDCDC" w:sz="4"/>
          <w:bottom w:val="single" w:color="DCDCDC" w:sz="4"/>
          <w:right w:val="single" w:color="DCDCDC" w:sz="4"/>
          <w:insideH w:val="single" w:color="DCDCDC" w:sz="4"/>
          <w:insideV w:val="none" w:sz="4"/>
        </w:tblBorders>
      </w:tblPr>
      <w:tblGrid>
        <w:gridCol w:w="2600"/>
        <w:gridCol w:w="6472"/>
      </w:tblGrid>
      <w:tr>
        <w:trPr/>
        <w:tc>
          <w:tcPr>
            <w:shd w:val="clear" w:fill="F0F0F0"/>
            <w:tcMar>
              <w:top w:w="60" w:type="dxa"/>
              <w:left w:w="110" w:type="dxa"/>
              <w:bottom w:w="60" w:type="dxa"/>
              <w:right w:w="110" w:type="dxa"/>
            </w:tcMar>
            <w:vAlign w:val="top"/>
          </w:tcPr>
          <w:p w14:paraId="00100626" w14:textId="00100627">
            <w:r>
              <w:rPr>
                <w:b/>
                <w:color w:val="34322D"/>
                <w:sz w:val="18"/>
              </w:rPr>
              <w:t xml:space="preserve">Not in place</w:t>
            </w:r>
          </w:p>
        </w:tc>
        <w:tc>
          <w:tcPr>
            <w:shd w:val="clear" w:fill="F0F0F0"/>
            <w:tcMar>
              <w:top w:w="60" w:type="dxa"/>
              <w:left w:w="110" w:type="dxa"/>
              <w:bottom w:w="60" w:type="dxa"/>
              <w:right w:w="110" w:type="dxa"/>
            </w:tcMar>
            <w:vAlign w:val="top"/>
          </w:tcPr>
          <w:p w14:paraId="00100628" w14:textId="00100629">
            <w:r>
              <w:rPr>
                <w:b/>
                <w:color w:val="34322D"/>
                <w:sz w:val="18"/>
              </w:rPr>
              <w:t xml:space="preserve">Position</w:t>
            </w:r>
          </w:p>
        </w:tc>
      </w:tr>
      <w:tr>
        <w:trPr/>
        <w:tc>
          <w:tcPr>
            <w:shd w:val="clear" w:fill="F7F7F7"/>
            <w:tcMar>
              <w:top w:w="60" w:type="dxa"/>
              <w:left w:w="110" w:type="dxa"/>
              <w:bottom w:w="60" w:type="dxa"/>
              <w:right w:w="110" w:type="dxa"/>
            </w:tcMar>
            <w:vAlign w:val="top"/>
          </w:tcPr>
          <w:p w14:paraId="0010062A" w14:textId="0010062B">
            <w:r>
              <w:rPr>
                <w:b w:val="false"/>
                <w:sz w:val="18"/>
              </w:rPr>
              <w:t xml:space="preserve">ISO 27001 / SOC 2 certification</w:t>
            </w:r>
          </w:p>
        </w:tc>
        <w:tc>
          <w:tcPr>
            <w:tcMar>
              <w:top w:w="60" w:type="dxa"/>
              <w:left w:w="110" w:type="dxa"/>
              <w:bottom w:w="60" w:type="dxa"/>
              <w:right w:w="110" w:type="dxa"/>
            </w:tcMar>
            <w:vAlign w:val="top"/>
          </w:tcPr>
          <w:p w14:paraId="0010062C" w14:textId="0010062D">
            <w:r>
              <w:rPr>
                <w:sz w:val="18"/>
              </w:rPr>
              <w:t xml:space="preserve">Not held. The Provider does not claim certification of compliance.</w:t>
            </w:r>
          </w:p>
        </w:tc>
      </w:tr>
      <w:tr>
        <w:trPr/>
        <w:tc>
          <w:tcPr>
            <w:shd w:val="clear" w:fill="F7F7F7"/>
            <w:tcMar>
              <w:top w:w="60" w:type="dxa"/>
              <w:left w:w="110" w:type="dxa"/>
              <w:bottom w:w="60" w:type="dxa"/>
              <w:right w:w="110" w:type="dxa"/>
            </w:tcMar>
            <w:vAlign w:val="top"/>
          </w:tcPr>
          <w:p w14:paraId="0010062E" w14:textId="0010062F">
            <w:r>
              <w:rPr>
                <w:b w:val="false"/>
                <w:sz w:val="18"/>
              </w:rPr>
              <w:t xml:space="preserve">Independent penetration test</w:t>
            </w:r>
          </w:p>
        </w:tc>
        <w:tc>
          <w:tcPr>
            <w:tcMar>
              <w:top w:w="60" w:type="dxa"/>
              <w:left w:w="110" w:type="dxa"/>
              <w:bottom w:w="60" w:type="dxa"/>
              <w:right w:w="110" w:type="dxa"/>
            </w:tcMar>
            <w:vAlign w:val="top"/>
          </w:tcPr>
          <w:p w14:paraId="00100630" w14:textId="00100631">
            <w:r>
              <w:rPr>
                <w:sz w:val="18"/>
              </w:rPr>
              <w:t xml:space="preserve">Not completed at the Effective Date. Automated dependency and platform security scanning runs against every release.</w:t>
            </w:r>
          </w:p>
        </w:tc>
      </w:tr>
      <w:tr>
        <w:trPr/>
        <w:tc>
          <w:tcPr>
            <w:shd w:val="clear" w:fill="F7F7F7"/>
            <w:tcMar>
              <w:top w:w="60" w:type="dxa"/>
              <w:left w:w="110" w:type="dxa"/>
              <w:bottom w:w="60" w:type="dxa"/>
              <w:right w:w="110" w:type="dxa"/>
            </w:tcMar>
            <w:vAlign w:val="top"/>
          </w:tcPr>
          <w:p w14:paraId="00100632" w14:textId="00100633">
            <w:r>
              <w:rPr>
                <w:b w:val="false"/>
                <w:sz w:val="18"/>
              </w:rPr>
              <w:t xml:space="preserve">SCIM directory provisioning</w:t>
            </w:r>
          </w:p>
        </w:tc>
        <w:tc>
          <w:tcPr>
            <w:tcMar>
              <w:top w:w="60" w:type="dxa"/>
              <w:left w:w="110" w:type="dxa"/>
              <w:bottom w:w="60" w:type="dxa"/>
              <w:right w:w="110" w:type="dxa"/>
            </w:tcMar>
            <w:vAlign w:val="top"/>
          </w:tcPr>
          <w:p w14:paraId="00100634" w14:textId="00100635">
            <w:r>
              <w:rPr>
                <w:sz w:val="18"/>
              </w:rPr>
              <w:t xml:space="preserve">Not offered. User lifecycle is managed by the Customer's workspace administrators.</w:t>
            </w:r>
          </w:p>
        </w:tc>
      </w:tr>
      <w:tr>
        <w:trPr/>
        <w:tc>
          <w:tcPr>
            <w:shd w:val="clear" w:fill="F7F7F7"/>
            <w:tcMar>
              <w:top w:w="60" w:type="dxa"/>
              <w:left w:w="110" w:type="dxa"/>
              <w:bottom w:w="60" w:type="dxa"/>
              <w:right w:w="110" w:type="dxa"/>
            </w:tcMar>
            <w:vAlign w:val="top"/>
          </w:tcPr>
          <w:p w14:paraId="00100636" w14:textId="00100637">
            <w:r>
              <w:rPr>
                <w:b w:val="false"/>
                <w:sz w:val="18"/>
              </w:rPr>
              <w:t xml:space="preserve">Customer-controlled region selection</w:t>
            </w:r>
          </w:p>
        </w:tc>
        <w:tc>
          <w:tcPr>
            <w:tcMar>
              <w:top w:w="60" w:type="dxa"/>
              <w:left w:w="110" w:type="dxa"/>
              <w:bottom w:w="60" w:type="dxa"/>
              <w:right w:w="110" w:type="dxa"/>
            </w:tcMar>
            <w:vAlign w:val="top"/>
          </w:tcPr>
          <w:p w14:paraId="00100638" w14:textId="00100639">
            <w:r>
              <w:rPr>
                <w:sz w:val="18"/>
              </w:rPr>
              <w:t xml:space="preserve">Not currently offered. The primary region is confirmed in writing and the Customer is notified before a change (clause 11.9).</w:t>
            </w:r>
          </w:p>
        </w:tc>
      </w:tr>
      <w:tr>
        <w:trPr/>
        <w:tc>
          <w:tcPr>
            <w:shd w:val="clear" w:fill="F7F7F7"/>
            <w:tcMar>
              <w:top w:w="60" w:type="dxa"/>
              <w:left w:w="110" w:type="dxa"/>
              <w:bottom w:w="60" w:type="dxa"/>
              <w:right w:w="110" w:type="dxa"/>
            </w:tcMar>
            <w:vAlign w:val="top"/>
          </w:tcPr>
          <w:p w14:paraId="0010063A" w14:textId="0010063B">
            <w:r>
              <w:rPr>
                <w:b w:val="false"/>
                <w:sz w:val="18"/>
              </w:rPr>
              <w:t xml:space="preserve">Universal RTO / RPO</w:t>
            </w:r>
          </w:p>
        </w:tc>
        <w:tc>
          <w:tcPr>
            <w:tcMar>
              <w:top w:w="60" w:type="dxa"/>
              <w:left w:w="110" w:type="dxa"/>
              <w:bottom w:w="60" w:type="dxa"/>
              <w:right w:w="110" w:type="dxa"/>
            </w:tcMar>
            <w:vAlign w:val="top"/>
          </w:tcPr>
          <w:p w14:paraId="0010063C" w14:textId="0010063D">
            <w:r>
              <w:rPr>
                <w:sz w:val="18"/>
              </w:rPr>
              <w:t xml:space="preserve">Not published. Recovery objectives are agreed per Enterprise contract (clause 9.2).</w:t>
            </w:r>
          </w:p>
        </w:tc>
      </w:tr>
      <w:tr>
        <w:trPr/>
        <w:tc>
          <w:tcPr>
            <w:shd w:val="clear" w:fill="F7F7F7"/>
            <w:tcMar>
              <w:top w:w="60" w:type="dxa"/>
              <w:left w:w="110" w:type="dxa"/>
              <w:bottom w:w="60" w:type="dxa"/>
              <w:right w:w="110" w:type="dxa"/>
            </w:tcMar>
            <w:vAlign w:val="top"/>
          </w:tcPr>
          <w:p w14:paraId="0010063E" w14:textId="0010063F">
            <w:r>
              <w:rPr>
                <w:b w:val="false"/>
                <w:sz w:val="18"/>
              </w:rPr>
              <w:t xml:space="preserve">On-site audit rights</w:t>
            </w:r>
          </w:p>
        </w:tc>
        <w:tc>
          <w:tcPr>
            <w:tcMar>
              <w:top w:w="60" w:type="dxa"/>
              <w:left w:w="110" w:type="dxa"/>
              <w:bottom w:w="60" w:type="dxa"/>
              <w:right w:w="110" w:type="dxa"/>
            </w:tcMar>
            <w:vAlign w:val="top"/>
          </w:tcPr>
          <w:p w14:paraId="00100640" w14:textId="00100641">
            <w:r>
              <w:rPr>
                <w:sz w:val="18"/>
              </w:rPr>
              <w:t xml:space="preserve">Not offered during an evaluation. Assurance is documentation-based (clause 10.7).</w:t>
            </w:r>
          </w:p>
        </w:tc>
      </w:tr>
    </w:tbl>
    <w:p w14:paraId="00100642" w14:textId="00100643">
      <w:pPr>
        <w:keepNext/>
        <w:spacing w:before="280" w:after="160"/>
        <w:jc w:val="left"/>
      </w:pPr>
      <w:r>
        <w:rPr>
          <w:rFonts w:ascii="Calibri" w:hAnsi="Calibri" w:eastAsia="Calibri"/>
          <w:b/>
          <w:color w:val="005A4B"/>
          <w:sz w:val="27"/>
        </w:rPr>
        <w:t xml:space="preserve">D3. Shared responsibility</w:t>
      </w:r>
    </w:p>
    <w:p w14:paraId="00100644" w14:textId="00100645">
      <w:pPr>
        <w:spacing w:after="160"/>
        <w:jc w:val="both"/>
      </w:pPr>
      <w:r>
        <w:rPr>
          <w:rFonts w:ascii="Calibri" w:hAnsi="Calibri" w:eastAsia="Calibri"/>
          <w:color w:val="34322D"/>
          <w:sz w:val="21"/>
        </w:rPr>
        <w:t xml:space="preserve">R = responsible, A = accountable, C = consulted, I = informed. The Provider is accountable for the platform; the Customer is accountable for its own HSE management system and for how the platform is used on its projects.</w:t>
      </w:r>
    </w:p>
    <w:tbl>
      <w:tblPr>
        <w:tblW w:w="5000" w:type="pct"/>
        <w:tblBorders>
          <w:top w:val="single" w:color="DCDCDC" w:sz="4"/>
          <w:left w:val="single" w:color="DCDCDC" w:sz="4"/>
          <w:bottom w:val="single" w:color="DCDCDC" w:sz="4"/>
          <w:right w:val="single" w:color="DCDCDC" w:sz="4"/>
          <w:insideH w:val="single" w:color="DCDCDC" w:sz="4"/>
          <w:insideV w:val="none" w:sz="4"/>
        </w:tblBorders>
      </w:tblPr>
      <w:tblGrid>
        <w:gridCol w:w="5272"/>
        <w:gridCol w:w="1900"/>
        <w:gridCol w:w="1900"/>
      </w:tblGrid>
      <w:tr>
        <w:trPr/>
        <w:tc>
          <w:tcPr>
            <w:shd w:val="clear" w:fill="F0F0F0"/>
            <w:tcMar>
              <w:top w:w="60" w:type="dxa"/>
              <w:left w:w="110" w:type="dxa"/>
              <w:bottom w:w="60" w:type="dxa"/>
              <w:right w:w="110" w:type="dxa"/>
            </w:tcMar>
            <w:vAlign w:val="top"/>
          </w:tcPr>
          <w:p w14:paraId="00100646" w14:textId="00100647">
            <w:r>
              <w:rPr>
                <w:b/>
                <w:color w:val="34322D"/>
                <w:sz w:val="18"/>
              </w:rPr>
              <w:t xml:space="preserve">Activity</w:t>
            </w:r>
          </w:p>
        </w:tc>
        <w:tc>
          <w:tcPr>
            <w:shd w:val="clear" w:fill="F0F0F0"/>
            <w:tcMar>
              <w:top w:w="60" w:type="dxa"/>
              <w:left w:w="110" w:type="dxa"/>
              <w:bottom w:w="60" w:type="dxa"/>
              <w:right w:w="110" w:type="dxa"/>
            </w:tcMar>
            <w:vAlign w:val="top"/>
          </w:tcPr>
          <w:p w14:paraId="00100648" w14:textId="00100649">
            <w:r>
              <w:rPr>
                <w:b/>
                <w:color w:val="34322D"/>
                <w:sz w:val="18"/>
              </w:rPr>
              <w:t xml:space="preserve">Provider</w:t>
            </w:r>
          </w:p>
        </w:tc>
        <w:tc>
          <w:tcPr>
            <w:shd w:val="clear" w:fill="F0F0F0"/>
            <w:tcMar>
              <w:top w:w="60" w:type="dxa"/>
              <w:left w:w="110" w:type="dxa"/>
              <w:bottom w:w="60" w:type="dxa"/>
              <w:right w:w="110" w:type="dxa"/>
            </w:tcMar>
            <w:vAlign w:val="top"/>
          </w:tcPr>
          <w:p w14:paraId="0010064A" w14:textId="0010064B">
            <w:r>
              <w:rPr>
                <w:b/>
                <w:color w:val="34322D"/>
                <w:sz w:val="18"/>
              </w:rPr>
              <w:t xml:space="preserve">Customer</w:t>
            </w:r>
          </w:p>
        </w:tc>
      </w:tr>
      <w:tr>
        <w:trPr/>
        <w:tc>
          <w:tcPr>
            <w:shd w:val="clear" w:fill="F7F7F7"/>
            <w:tcMar>
              <w:top w:w="60" w:type="dxa"/>
              <w:left w:w="110" w:type="dxa"/>
              <w:bottom w:w="60" w:type="dxa"/>
              <w:right w:w="110" w:type="dxa"/>
            </w:tcMar>
            <w:vAlign w:val="top"/>
          </w:tcPr>
          <w:p w14:paraId="0010064C" w14:textId="0010064D">
            <w:r>
              <w:rPr>
                <w:b w:val="false"/>
                <w:sz w:val="18"/>
              </w:rPr>
              <w:t xml:space="preserve">Platform availability, monitoring and incident response</w:t>
            </w:r>
          </w:p>
        </w:tc>
        <w:tc>
          <w:tcPr>
            <w:tcMar>
              <w:top w:w="60" w:type="dxa"/>
              <w:left w:w="110" w:type="dxa"/>
              <w:bottom w:w="60" w:type="dxa"/>
              <w:right w:w="110" w:type="dxa"/>
            </w:tcMar>
            <w:vAlign w:val="top"/>
          </w:tcPr>
          <w:p w14:paraId="0010064E" w14:textId="0010064F">
            <w:r>
              <w:rPr>
                <w:sz w:val="18"/>
              </w:rPr>
              <w:t xml:space="preserve">A / R</w:t>
            </w:r>
          </w:p>
        </w:tc>
        <w:tc>
          <w:tcPr>
            <w:tcMar>
              <w:top w:w="60" w:type="dxa"/>
              <w:left w:w="110" w:type="dxa"/>
              <w:bottom w:w="60" w:type="dxa"/>
              <w:right w:w="110" w:type="dxa"/>
            </w:tcMar>
            <w:vAlign w:val="top"/>
          </w:tcPr>
          <w:p w14:paraId="00100650" w14:textId="00100651">
            <w:r>
              <w:rPr>
                <w:sz w:val="18"/>
              </w:rPr>
              <w:t xml:space="preserve">I</w:t>
            </w:r>
          </w:p>
        </w:tc>
      </w:tr>
      <w:tr>
        <w:trPr/>
        <w:tc>
          <w:tcPr>
            <w:shd w:val="clear" w:fill="F7F7F7"/>
            <w:tcMar>
              <w:top w:w="60" w:type="dxa"/>
              <w:left w:w="110" w:type="dxa"/>
              <w:bottom w:w="60" w:type="dxa"/>
              <w:right w:w="110" w:type="dxa"/>
            </w:tcMar>
            <w:vAlign w:val="top"/>
          </w:tcPr>
          <w:p w14:paraId="00100652" w14:textId="00100653">
            <w:r>
              <w:rPr>
                <w:b w:val="false"/>
                <w:sz w:val="18"/>
              </w:rPr>
              <w:t xml:space="preserve">Backup of the managed database and restore of Customer Content</w:t>
            </w:r>
          </w:p>
        </w:tc>
        <w:tc>
          <w:tcPr>
            <w:tcMar>
              <w:top w:w="60" w:type="dxa"/>
              <w:left w:w="110" w:type="dxa"/>
              <w:bottom w:w="60" w:type="dxa"/>
              <w:right w:w="110" w:type="dxa"/>
            </w:tcMar>
            <w:vAlign w:val="top"/>
          </w:tcPr>
          <w:p w14:paraId="00100654" w14:textId="00100655">
            <w:r>
              <w:rPr>
                <w:sz w:val="18"/>
              </w:rPr>
              <w:t xml:space="preserve">A / R</w:t>
            </w:r>
          </w:p>
        </w:tc>
        <w:tc>
          <w:tcPr>
            <w:tcMar>
              <w:top w:w="60" w:type="dxa"/>
              <w:left w:w="110" w:type="dxa"/>
              <w:bottom w:w="60" w:type="dxa"/>
              <w:right w:w="110" w:type="dxa"/>
            </w:tcMar>
            <w:vAlign w:val="top"/>
          </w:tcPr>
          <w:p w14:paraId="00100656" w14:textId="00100657">
            <w:r>
              <w:rPr>
                <w:sz w:val="18"/>
              </w:rPr>
              <w:t xml:space="preserve">I</w:t>
            </w:r>
          </w:p>
        </w:tc>
      </w:tr>
      <w:tr>
        <w:trPr/>
        <w:tc>
          <w:tcPr>
            <w:shd w:val="clear" w:fill="F7F7F7"/>
            <w:tcMar>
              <w:top w:w="60" w:type="dxa"/>
              <w:left w:w="110" w:type="dxa"/>
              <w:bottom w:w="60" w:type="dxa"/>
              <w:right w:w="110" w:type="dxa"/>
            </w:tcMar>
            <w:vAlign w:val="top"/>
          </w:tcPr>
          <w:p w14:paraId="00100658" w14:textId="00100659">
            <w:r>
              <w:rPr>
                <w:b w:val="false"/>
                <w:sz w:val="18"/>
              </w:rPr>
              <w:t xml:space="preserve">Configuration of the Evaluation Workspace, sites and templates</w:t>
            </w:r>
          </w:p>
        </w:tc>
        <w:tc>
          <w:tcPr>
            <w:tcMar>
              <w:top w:w="60" w:type="dxa"/>
              <w:left w:w="110" w:type="dxa"/>
              <w:bottom w:w="60" w:type="dxa"/>
              <w:right w:w="110" w:type="dxa"/>
            </w:tcMar>
            <w:vAlign w:val="top"/>
          </w:tcPr>
          <w:p w14:paraId="0010065A" w14:textId="0010065B">
            <w:r>
              <w:rPr>
                <w:sz w:val="18"/>
              </w:rPr>
              <w:t xml:space="preserve">C</w:t>
            </w:r>
          </w:p>
        </w:tc>
        <w:tc>
          <w:tcPr>
            <w:tcMar>
              <w:top w:w="60" w:type="dxa"/>
              <w:left w:w="110" w:type="dxa"/>
              <w:bottom w:w="60" w:type="dxa"/>
              <w:right w:w="110" w:type="dxa"/>
            </w:tcMar>
            <w:vAlign w:val="top"/>
          </w:tcPr>
          <w:p w14:paraId="0010065C" w14:textId="0010065D">
            <w:r>
              <w:rPr>
                <w:sz w:val="18"/>
              </w:rPr>
              <w:t xml:space="preserve">A / R</w:t>
            </w:r>
          </w:p>
        </w:tc>
      </w:tr>
      <w:tr>
        <w:trPr/>
        <w:tc>
          <w:tcPr>
            <w:shd w:val="clear" w:fill="F7F7F7"/>
            <w:tcMar>
              <w:top w:w="60" w:type="dxa"/>
              <w:left w:w="110" w:type="dxa"/>
              <w:bottom w:w="60" w:type="dxa"/>
              <w:right w:w="110" w:type="dxa"/>
            </w:tcMar>
            <w:vAlign w:val="top"/>
          </w:tcPr>
          <w:p w14:paraId="0010065E" w14:textId="0010065F">
            <w:r>
              <w:rPr>
                <w:b w:val="false"/>
                <w:sz w:val="18"/>
              </w:rPr>
              <w:t xml:space="preserve">Creation and deactivation of user accounts and role assignment</w:t>
            </w:r>
          </w:p>
        </w:tc>
        <w:tc>
          <w:tcPr>
            <w:tcMar>
              <w:top w:w="60" w:type="dxa"/>
              <w:left w:w="110" w:type="dxa"/>
              <w:bottom w:w="60" w:type="dxa"/>
              <w:right w:w="110" w:type="dxa"/>
            </w:tcMar>
            <w:vAlign w:val="top"/>
          </w:tcPr>
          <w:p w14:paraId="00100660" w14:textId="00100661">
            <w:r>
              <w:rPr>
                <w:sz w:val="18"/>
              </w:rPr>
              <w:t xml:space="preserve">C / I</w:t>
            </w:r>
          </w:p>
        </w:tc>
        <w:tc>
          <w:tcPr>
            <w:tcMar>
              <w:top w:w="60" w:type="dxa"/>
              <w:left w:w="110" w:type="dxa"/>
              <w:bottom w:w="60" w:type="dxa"/>
              <w:right w:w="110" w:type="dxa"/>
            </w:tcMar>
            <w:vAlign w:val="top"/>
          </w:tcPr>
          <w:p w14:paraId="00100662" w14:textId="00100663">
            <w:r>
              <w:rPr>
                <w:sz w:val="18"/>
              </w:rPr>
              <w:t xml:space="preserve">A / R</w:t>
            </w:r>
          </w:p>
        </w:tc>
      </w:tr>
      <w:tr>
        <w:trPr/>
        <w:tc>
          <w:tcPr>
            <w:shd w:val="clear" w:fill="F7F7F7"/>
            <w:tcMar>
              <w:top w:w="60" w:type="dxa"/>
              <w:left w:w="110" w:type="dxa"/>
              <w:bottom w:w="60" w:type="dxa"/>
              <w:right w:w="110" w:type="dxa"/>
            </w:tcMar>
            <w:vAlign w:val="top"/>
          </w:tcPr>
          <w:p w14:paraId="00100664" w14:textId="00100665">
            <w:r>
              <w:rPr>
                <w:b w:val="false"/>
                <w:sz w:val="18"/>
              </w:rPr>
              <w:t xml:space="preserve">Off-boarding leavers and reviewing access periodically</w:t>
            </w:r>
          </w:p>
        </w:tc>
        <w:tc>
          <w:tcPr>
            <w:tcMar>
              <w:top w:w="60" w:type="dxa"/>
              <w:left w:w="110" w:type="dxa"/>
              <w:bottom w:w="60" w:type="dxa"/>
              <w:right w:w="110" w:type="dxa"/>
            </w:tcMar>
            <w:vAlign w:val="top"/>
          </w:tcPr>
          <w:p w14:paraId="00100666" w14:textId="00100667">
            <w:r>
              <w:rPr>
                <w:sz w:val="18"/>
              </w:rPr>
              <w:t xml:space="preserve">I</w:t>
            </w:r>
          </w:p>
        </w:tc>
        <w:tc>
          <w:tcPr>
            <w:tcMar>
              <w:top w:w="60" w:type="dxa"/>
              <w:left w:w="110" w:type="dxa"/>
              <w:bottom w:w="60" w:type="dxa"/>
              <w:right w:w="110" w:type="dxa"/>
            </w:tcMar>
            <w:vAlign w:val="top"/>
          </w:tcPr>
          <w:p w14:paraId="00100668" w14:textId="00100669">
            <w:r>
              <w:rPr>
                <w:sz w:val="18"/>
              </w:rPr>
              <w:t xml:space="preserve">A / R</w:t>
            </w:r>
          </w:p>
        </w:tc>
      </w:tr>
      <w:tr>
        <w:trPr/>
        <w:tc>
          <w:tcPr>
            <w:shd w:val="clear" w:fill="F7F7F7"/>
            <w:tcMar>
              <w:top w:w="60" w:type="dxa"/>
              <w:left w:w="110" w:type="dxa"/>
              <w:bottom w:w="60" w:type="dxa"/>
              <w:right w:w="110" w:type="dxa"/>
            </w:tcMar>
            <w:vAlign w:val="top"/>
          </w:tcPr>
          <w:p w14:paraId="0010066A" w14:textId="0010066B">
            <w:r>
              <w:rPr>
                <w:b w:val="false"/>
                <w:sz w:val="18"/>
              </w:rPr>
              <w:t xml:space="preserve">Accuracy, completeness and lawfulness of Customer Content</w:t>
            </w:r>
          </w:p>
        </w:tc>
        <w:tc>
          <w:tcPr>
            <w:tcMar>
              <w:top w:w="60" w:type="dxa"/>
              <w:left w:w="110" w:type="dxa"/>
              <w:bottom w:w="60" w:type="dxa"/>
              <w:right w:w="110" w:type="dxa"/>
            </w:tcMar>
            <w:vAlign w:val="top"/>
          </w:tcPr>
          <w:p w14:paraId="0010066C" w14:textId="0010066D">
            <w:r>
              <w:rPr>
                <w:sz w:val="18"/>
              </w:rPr>
              <w:t xml:space="preserve">I</w:t>
            </w:r>
          </w:p>
        </w:tc>
        <w:tc>
          <w:tcPr>
            <w:tcMar>
              <w:top w:w="60" w:type="dxa"/>
              <w:left w:w="110" w:type="dxa"/>
              <w:bottom w:w="60" w:type="dxa"/>
              <w:right w:w="110" w:type="dxa"/>
            </w:tcMar>
            <w:vAlign w:val="top"/>
          </w:tcPr>
          <w:p w14:paraId="0010066E" w14:textId="0010066F">
            <w:r>
              <w:rPr>
                <w:sz w:val="18"/>
              </w:rPr>
              <w:t xml:space="preserve">A / R</w:t>
            </w:r>
          </w:p>
        </w:tc>
      </w:tr>
      <w:tr>
        <w:trPr/>
        <w:tc>
          <w:tcPr>
            <w:shd w:val="clear" w:fill="F7F7F7"/>
            <w:tcMar>
              <w:top w:w="60" w:type="dxa"/>
              <w:left w:w="110" w:type="dxa"/>
              <w:bottom w:w="60" w:type="dxa"/>
              <w:right w:w="110" w:type="dxa"/>
            </w:tcMar>
            <w:vAlign w:val="top"/>
          </w:tcPr>
          <w:p w14:paraId="00100670" w14:textId="00100671">
            <w:r>
              <w:rPr>
                <w:b w:val="false"/>
                <w:sz w:val="18"/>
              </w:rPr>
              <w:t xml:space="preserve">Lawful basis for uploading worker, health and personal data</w:t>
            </w:r>
          </w:p>
        </w:tc>
        <w:tc>
          <w:tcPr>
            <w:tcMar>
              <w:top w:w="60" w:type="dxa"/>
              <w:left w:w="110" w:type="dxa"/>
              <w:bottom w:w="60" w:type="dxa"/>
              <w:right w:w="110" w:type="dxa"/>
            </w:tcMar>
            <w:vAlign w:val="top"/>
          </w:tcPr>
          <w:p w14:paraId="00100672" w14:textId="00100673">
            <w:r>
              <w:rPr>
                <w:sz w:val="18"/>
              </w:rPr>
              <w:t xml:space="preserve">C</w:t>
            </w:r>
          </w:p>
        </w:tc>
        <w:tc>
          <w:tcPr>
            <w:tcMar>
              <w:top w:w="60" w:type="dxa"/>
              <w:left w:w="110" w:type="dxa"/>
              <w:bottom w:w="60" w:type="dxa"/>
              <w:right w:w="110" w:type="dxa"/>
            </w:tcMar>
            <w:vAlign w:val="top"/>
          </w:tcPr>
          <w:p w14:paraId="00100674" w14:textId="00100675">
            <w:r>
              <w:rPr>
                <w:sz w:val="18"/>
              </w:rPr>
              <w:t xml:space="preserve">A / R</w:t>
            </w:r>
          </w:p>
        </w:tc>
      </w:tr>
      <w:tr>
        <w:trPr/>
        <w:tc>
          <w:tcPr>
            <w:shd w:val="clear" w:fill="F7F7F7"/>
            <w:tcMar>
              <w:top w:w="60" w:type="dxa"/>
              <w:left w:w="110" w:type="dxa"/>
              <w:bottom w:w="60" w:type="dxa"/>
              <w:right w:w="110" w:type="dxa"/>
            </w:tcMar>
            <w:vAlign w:val="top"/>
          </w:tcPr>
          <w:p w14:paraId="00100676" w14:textId="00100677">
            <w:r>
              <w:rPr>
                <w:b w:val="false"/>
                <w:sz w:val="18"/>
              </w:rPr>
              <w:t xml:space="preserve">HSE decisions, permits, inspections, approvals and authority submissions</w:t>
            </w:r>
          </w:p>
        </w:tc>
        <w:tc>
          <w:tcPr>
            <w:tcMar>
              <w:top w:w="60" w:type="dxa"/>
              <w:left w:w="110" w:type="dxa"/>
              <w:bottom w:w="60" w:type="dxa"/>
              <w:right w:w="110" w:type="dxa"/>
            </w:tcMar>
            <w:vAlign w:val="top"/>
          </w:tcPr>
          <w:p w14:paraId="00100678" w14:textId="00100679">
            <w:r>
              <w:rPr>
                <w:sz w:val="18"/>
              </w:rPr>
              <w:t xml:space="preserve">I</w:t>
            </w:r>
          </w:p>
        </w:tc>
        <w:tc>
          <w:tcPr>
            <w:tcMar>
              <w:top w:w="60" w:type="dxa"/>
              <w:left w:w="110" w:type="dxa"/>
              <w:bottom w:w="60" w:type="dxa"/>
              <w:right w:w="110" w:type="dxa"/>
            </w:tcMar>
            <w:vAlign w:val="top"/>
          </w:tcPr>
          <w:p w14:paraId="0010067A" w14:textId="0010067B">
            <w:r>
              <w:rPr>
                <w:sz w:val="18"/>
              </w:rPr>
              <w:t xml:space="preserve">A / R</w:t>
            </w:r>
          </w:p>
        </w:tc>
      </w:tr>
      <w:tr>
        <w:trPr/>
        <w:tc>
          <w:tcPr>
            <w:shd w:val="clear" w:fill="F7F7F7"/>
            <w:tcMar>
              <w:top w:w="60" w:type="dxa"/>
              <w:left w:w="110" w:type="dxa"/>
              <w:bottom w:w="60" w:type="dxa"/>
              <w:right w:w="110" w:type="dxa"/>
            </w:tcMar>
            <w:vAlign w:val="top"/>
          </w:tcPr>
          <w:p w14:paraId="0010067C" w14:textId="0010067D">
            <w:r>
              <w:rPr>
                <w:b w:val="false"/>
                <w:sz w:val="18"/>
              </w:rPr>
              <w:t xml:space="preserve">Review and approval of AI-assisted output before use</w:t>
            </w:r>
          </w:p>
        </w:tc>
        <w:tc>
          <w:tcPr>
            <w:tcMar>
              <w:top w:w="60" w:type="dxa"/>
              <w:left w:w="110" w:type="dxa"/>
              <w:bottom w:w="60" w:type="dxa"/>
              <w:right w:w="110" w:type="dxa"/>
            </w:tcMar>
            <w:vAlign w:val="top"/>
          </w:tcPr>
          <w:p w14:paraId="0010067E" w14:textId="0010067F">
            <w:r>
              <w:rPr>
                <w:sz w:val="18"/>
              </w:rPr>
              <w:t xml:space="preserve">C / I</w:t>
            </w:r>
          </w:p>
        </w:tc>
        <w:tc>
          <w:tcPr>
            <w:tcMar>
              <w:top w:w="60" w:type="dxa"/>
              <w:left w:w="110" w:type="dxa"/>
              <w:bottom w:w="60" w:type="dxa"/>
              <w:right w:w="110" w:type="dxa"/>
            </w:tcMar>
            <w:vAlign w:val="top"/>
          </w:tcPr>
          <w:p w14:paraId="00100680" w14:textId="00100681">
            <w:r>
              <w:rPr>
                <w:sz w:val="18"/>
              </w:rPr>
              <w:t xml:space="preserve">A / R</w:t>
            </w:r>
          </w:p>
        </w:tc>
      </w:tr>
      <w:tr>
        <w:trPr/>
        <w:tc>
          <w:tcPr>
            <w:shd w:val="clear" w:fill="F7F7F7"/>
            <w:tcMar>
              <w:top w:w="60" w:type="dxa"/>
              <w:left w:w="110" w:type="dxa"/>
              <w:bottom w:w="60" w:type="dxa"/>
              <w:right w:w="110" w:type="dxa"/>
            </w:tcMar>
            <w:vAlign w:val="top"/>
          </w:tcPr>
          <w:p w14:paraId="00100682" w14:textId="00100683">
            <w:r>
              <w:rPr>
                <w:b w:val="false"/>
                <w:sz w:val="18"/>
              </w:rPr>
              <w:t xml:space="preserve">Applying security patches to the hosted Service</w:t>
            </w:r>
          </w:p>
        </w:tc>
        <w:tc>
          <w:tcPr>
            <w:tcMar>
              <w:top w:w="60" w:type="dxa"/>
              <w:left w:w="110" w:type="dxa"/>
              <w:bottom w:w="60" w:type="dxa"/>
              <w:right w:w="110" w:type="dxa"/>
            </w:tcMar>
            <w:vAlign w:val="top"/>
          </w:tcPr>
          <w:p w14:paraId="00100684" w14:textId="00100685">
            <w:r>
              <w:rPr>
                <w:sz w:val="18"/>
              </w:rPr>
              <w:t xml:space="preserve">A / R</w:t>
            </w:r>
          </w:p>
        </w:tc>
        <w:tc>
          <w:tcPr>
            <w:tcMar>
              <w:top w:w="60" w:type="dxa"/>
              <w:left w:w="110" w:type="dxa"/>
              <w:bottom w:w="60" w:type="dxa"/>
              <w:right w:w="110" w:type="dxa"/>
            </w:tcMar>
            <w:vAlign w:val="top"/>
          </w:tcPr>
          <w:p w14:paraId="00100686" w14:textId="00100687">
            <w:r>
              <w:rPr>
                <w:sz w:val="18"/>
              </w:rPr>
              <w:t xml:space="preserve">I</w:t>
            </w:r>
          </w:p>
        </w:tc>
      </w:tr>
      <w:tr>
        <w:trPr/>
        <w:tc>
          <w:tcPr>
            <w:shd w:val="clear" w:fill="F7F7F7"/>
            <w:tcMar>
              <w:top w:w="60" w:type="dxa"/>
              <w:left w:w="110" w:type="dxa"/>
              <w:bottom w:w="60" w:type="dxa"/>
              <w:right w:w="110" w:type="dxa"/>
            </w:tcMar>
            <w:vAlign w:val="top"/>
          </w:tcPr>
          <w:p w14:paraId="00100688" w14:textId="00100689">
            <w:r>
              <w:rPr>
                <w:b w:val="false"/>
                <w:sz w:val="18"/>
              </w:rPr>
              <w:t xml:space="preserve">Security of the Customer's own devices, network and identity provider</w:t>
            </w:r>
          </w:p>
        </w:tc>
        <w:tc>
          <w:tcPr>
            <w:tcMar>
              <w:top w:w="60" w:type="dxa"/>
              <w:left w:w="110" w:type="dxa"/>
              <w:bottom w:w="60" w:type="dxa"/>
              <w:right w:w="110" w:type="dxa"/>
            </w:tcMar>
            <w:vAlign w:val="top"/>
          </w:tcPr>
          <w:p w14:paraId="0010068A" w14:textId="0010068B">
            <w:r>
              <w:rPr>
                <w:sz w:val="18"/>
              </w:rPr>
              <w:t xml:space="preserve">I</w:t>
            </w:r>
          </w:p>
        </w:tc>
        <w:tc>
          <w:tcPr>
            <w:tcMar>
              <w:top w:w="60" w:type="dxa"/>
              <w:left w:w="110" w:type="dxa"/>
              <w:bottom w:w="60" w:type="dxa"/>
              <w:right w:w="110" w:type="dxa"/>
            </w:tcMar>
            <w:vAlign w:val="top"/>
          </w:tcPr>
          <w:p w14:paraId="0010068C" w14:textId="0010068D">
            <w:r>
              <w:rPr>
                <w:sz w:val="18"/>
              </w:rPr>
              <w:t xml:space="preserve">A / R</w:t>
            </w:r>
          </w:p>
        </w:tc>
      </w:tr>
      <w:tr>
        <w:trPr/>
        <w:tc>
          <w:tcPr>
            <w:shd w:val="clear" w:fill="F7F7F7"/>
            <w:tcMar>
              <w:top w:w="60" w:type="dxa"/>
              <w:left w:w="110" w:type="dxa"/>
              <w:bottom w:w="60" w:type="dxa"/>
              <w:right w:w="110" w:type="dxa"/>
            </w:tcMar>
            <w:vAlign w:val="top"/>
          </w:tcPr>
          <w:p w14:paraId="0010068E" w14:textId="0010068F">
            <w:r>
              <w:rPr>
                <w:b w:val="false"/>
                <w:sz w:val="18"/>
              </w:rPr>
              <w:t xml:space="preserve">Responding to data subject requests relating to Customer Content</w:t>
            </w:r>
          </w:p>
        </w:tc>
        <w:tc>
          <w:tcPr>
            <w:tcMar>
              <w:top w:w="60" w:type="dxa"/>
              <w:left w:w="110" w:type="dxa"/>
              <w:bottom w:w="60" w:type="dxa"/>
              <w:right w:w="110" w:type="dxa"/>
            </w:tcMar>
            <w:vAlign w:val="top"/>
          </w:tcPr>
          <w:p w14:paraId="00100690" w14:textId="00100691">
            <w:r>
              <w:rPr>
                <w:sz w:val="18"/>
              </w:rPr>
              <w:t xml:space="preserve">R (assist)</w:t>
            </w:r>
          </w:p>
        </w:tc>
        <w:tc>
          <w:tcPr>
            <w:tcMar>
              <w:top w:w="60" w:type="dxa"/>
              <w:left w:w="110" w:type="dxa"/>
              <w:bottom w:w="60" w:type="dxa"/>
              <w:right w:w="110" w:type="dxa"/>
            </w:tcMar>
            <w:vAlign w:val="top"/>
          </w:tcPr>
          <w:p w14:paraId="00100692" w14:textId="00100693">
            <w:r>
              <w:rPr>
                <w:sz w:val="18"/>
              </w:rPr>
              <w:t xml:space="preserve">A</w:t>
            </w:r>
          </w:p>
        </w:tc>
      </w:tr>
      <w:tr>
        <w:trPr/>
        <w:tc>
          <w:tcPr>
            <w:shd w:val="clear" w:fill="F7F7F7"/>
            <w:tcMar>
              <w:top w:w="60" w:type="dxa"/>
              <w:left w:w="110" w:type="dxa"/>
              <w:bottom w:w="60" w:type="dxa"/>
              <w:right w:w="110" w:type="dxa"/>
            </w:tcMar>
            <w:vAlign w:val="top"/>
          </w:tcPr>
          <w:p w14:paraId="00100694" w14:textId="00100695">
            <w:r>
              <w:rPr>
                <w:b w:val="false"/>
                <w:sz w:val="18"/>
              </w:rPr>
              <w:t xml:space="preserve">Notifying a personal data breach to the Customer</w:t>
            </w:r>
          </w:p>
        </w:tc>
        <w:tc>
          <w:tcPr>
            <w:tcMar>
              <w:top w:w="60" w:type="dxa"/>
              <w:left w:w="110" w:type="dxa"/>
              <w:bottom w:w="60" w:type="dxa"/>
              <w:right w:w="110" w:type="dxa"/>
            </w:tcMar>
            <w:vAlign w:val="top"/>
          </w:tcPr>
          <w:p w14:paraId="00100696" w14:textId="00100697">
            <w:r>
              <w:rPr>
                <w:sz w:val="18"/>
              </w:rPr>
              <w:t xml:space="preserve">A / R</w:t>
            </w:r>
          </w:p>
        </w:tc>
        <w:tc>
          <w:tcPr>
            <w:tcMar>
              <w:top w:w="60" w:type="dxa"/>
              <w:left w:w="110" w:type="dxa"/>
              <w:bottom w:w="60" w:type="dxa"/>
              <w:right w:w="110" w:type="dxa"/>
            </w:tcMar>
            <w:vAlign w:val="top"/>
          </w:tcPr>
          <w:p w14:paraId="00100698" w14:textId="00100699">
            <w:r>
              <w:rPr>
                <w:sz w:val="18"/>
              </w:rPr>
              <w:t xml:space="preserve">I</w:t>
            </w:r>
          </w:p>
        </w:tc>
      </w:tr>
      <w:tr>
        <w:trPr/>
        <w:tc>
          <w:tcPr>
            <w:shd w:val="clear" w:fill="F7F7F7"/>
            <w:tcMar>
              <w:top w:w="60" w:type="dxa"/>
              <w:left w:w="110" w:type="dxa"/>
              <w:bottom w:w="60" w:type="dxa"/>
              <w:right w:w="110" w:type="dxa"/>
            </w:tcMar>
            <w:vAlign w:val="top"/>
          </w:tcPr>
          <w:p w14:paraId="0010069A" w14:textId="0010069B">
            <w:r>
              <w:rPr>
                <w:b w:val="false"/>
                <w:sz w:val="18"/>
              </w:rPr>
              <w:t xml:space="preserve">Notifying a personal data breach to a regulator or data subject</w:t>
            </w:r>
          </w:p>
        </w:tc>
        <w:tc>
          <w:tcPr>
            <w:tcMar>
              <w:top w:w="60" w:type="dxa"/>
              <w:left w:w="110" w:type="dxa"/>
              <w:bottom w:w="60" w:type="dxa"/>
              <w:right w:w="110" w:type="dxa"/>
            </w:tcMar>
            <w:vAlign w:val="top"/>
          </w:tcPr>
          <w:p w14:paraId="0010069C" w14:textId="0010069D">
            <w:r>
              <w:rPr>
                <w:sz w:val="18"/>
              </w:rPr>
              <w:t xml:space="preserve">C</w:t>
            </w:r>
          </w:p>
        </w:tc>
        <w:tc>
          <w:tcPr>
            <w:tcMar>
              <w:top w:w="60" w:type="dxa"/>
              <w:left w:w="110" w:type="dxa"/>
              <w:bottom w:w="60" w:type="dxa"/>
              <w:right w:w="110" w:type="dxa"/>
            </w:tcMar>
            <w:vAlign w:val="top"/>
          </w:tcPr>
          <w:p w14:paraId="0010069E" w14:textId="0010069F">
            <w:r>
              <w:rPr>
                <w:sz w:val="18"/>
              </w:rPr>
              <w:t xml:space="preserve">A / R</w:t>
            </w:r>
          </w:p>
        </w:tc>
      </w:tr>
      <w:tr>
        <w:trPr/>
        <w:tc>
          <w:tcPr>
            <w:shd w:val="clear" w:fill="F7F7F7"/>
            <w:tcMar>
              <w:top w:w="60" w:type="dxa"/>
              <w:left w:w="110" w:type="dxa"/>
              <w:bottom w:w="60" w:type="dxa"/>
              <w:right w:w="110" w:type="dxa"/>
            </w:tcMar>
            <w:vAlign w:val="top"/>
          </w:tcPr>
          <w:p w14:paraId="001006A0" w14:textId="001006A1">
            <w:r>
              <w:rPr>
                <w:b w:val="false"/>
                <w:sz w:val="18"/>
              </w:rPr>
              <w:t xml:space="preserve">Maintaining an independent copy of records the Customer must retain</w:t>
            </w:r>
          </w:p>
        </w:tc>
        <w:tc>
          <w:tcPr>
            <w:tcMar>
              <w:top w:w="60" w:type="dxa"/>
              <w:left w:w="110" w:type="dxa"/>
              <w:bottom w:w="60" w:type="dxa"/>
              <w:right w:w="110" w:type="dxa"/>
            </w:tcMar>
            <w:vAlign w:val="top"/>
          </w:tcPr>
          <w:p w14:paraId="001006A2" w14:textId="001006A3">
            <w:r>
              <w:rPr>
                <w:sz w:val="18"/>
              </w:rPr>
              <w:t xml:space="preserve">I</w:t>
            </w:r>
          </w:p>
        </w:tc>
        <w:tc>
          <w:tcPr>
            <w:tcMar>
              <w:top w:w="60" w:type="dxa"/>
              <w:left w:w="110" w:type="dxa"/>
              <w:bottom w:w="60" w:type="dxa"/>
              <w:right w:w="110" w:type="dxa"/>
            </w:tcMar>
            <w:vAlign w:val="top"/>
          </w:tcPr>
          <w:p w14:paraId="001006A4" w14:textId="001006A5">
            <w:r>
              <w:rPr>
                <w:sz w:val="18"/>
              </w:rPr>
              <w:t xml:space="preserve">A / R</w:t>
            </w:r>
          </w:p>
        </w:tc>
      </w:tr>
      <w:tr>
        <w:trPr/>
        <w:tc>
          <w:tcPr>
            <w:shd w:val="clear" w:fill="F7F7F7"/>
            <w:tcMar>
              <w:top w:w="60" w:type="dxa"/>
              <w:left w:w="110" w:type="dxa"/>
              <w:bottom w:w="60" w:type="dxa"/>
              <w:right w:w="110" w:type="dxa"/>
            </w:tcMar>
            <w:vAlign w:val="top"/>
          </w:tcPr>
          <w:p w14:paraId="001006A6" w14:textId="001006A7">
            <w:r>
              <w:rPr>
                <w:b w:val="false"/>
                <w:sz w:val="18"/>
              </w:rPr>
              <w:t xml:space="preserve">Exporting Customer Content before the end of the Evaluation Period</w:t>
            </w:r>
          </w:p>
        </w:tc>
        <w:tc>
          <w:tcPr>
            <w:tcMar>
              <w:top w:w="60" w:type="dxa"/>
              <w:left w:w="110" w:type="dxa"/>
              <w:bottom w:w="60" w:type="dxa"/>
              <w:right w:w="110" w:type="dxa"/>
            </w:tcMar>
            <w:vAlign w:val="top"/>
          </w:tcPr>
          <w:p w14:paraId="001006A8" w14:textId="001006A9">
            <w:r>
              <w:rPr>
                <w:sz w:val="18"/>
              </w:rPr>
              <w:t xml:space="preserve">R (facilitate)</w:t>
            </w:r>
          </w:p>
        </w:tc>
        <w:tc>
          <w:tcPr>
            <w:tcMar>
              <w:top w:w="60" w:type="dxa"/>
              <w:left w:w="110" w:type="dxa"/>
              <w:bottom w:w="60" w:type="dxa"/>
              <w:right w:w="110" w:type="dxa"/>
            </w:tcMar>
            <w:vAlign w:val="top"/>
          </w:tcPr>
          <w:p w14:paraId="001006AA" w14:textId="001006AB">
            <w:r>
              <w:rPr>
                <w:sz w:val="18"/>
              </w:rPr>
              <w:t xml:space="preserve">A</w:t>
            </w:r>
          </w:p>
        </w:tc>
      </w:tr>
      <w:tr>
        <w:trPr/>
        <w:tc>
          <w:tcPr>
            <w:shd w:val="clear" w:fill="F7F7F7"/>
            <w:tcMar>
              <w:top w:w="60" w:type="dxa"/>
              <w:left w:w="110" w:type="dxa"/>
              <w:bottom w:w="60" w:type="dxa"/>
              <w:right w:w="110" w:type="dxa"/>
            </w:tcMar>
            <w:vAlign w:val="top"/>
          </w:tcPr>
          <w:p w14:paraId="001006AC" w14:textId="001006AD">
            <w:r>
              <w:rPr>
                <w:b w:val="false"/>
                <w:sz w:val="18"/>
              </w:rPr>
              <w:t xml:space="preserve">Deletion of Customer Content after the export window</w:t>
            </w:r>
          </w:p>
        </w:tc>
        <w:tc>
          <w:tcPr>
            <w:tcMar>
              <w:top w:w="60" w:type="dxa"/>
              <w:left w:w="110" w:type="dxa"/>
              <w:bottom w:w="60" w:type="dxa"/>
              <w:right w:w="110" w:type="dxa"/>
            </w:tcMar>
            <w:vAlign w:val="top"/>
          </w:tcPr>
          <w:p w14:paraId="001006AE" w14:textId="001006AF">
            <w:r>
              <w:rPr>
                <w:sz w:val="18"/>
              </w:rPr>
              <w:t xml:space="preserve">A / R</w:t>
            </w:r>
          </w:p>
        </w:tc>
        <w:tc>
          <w:tcPr>
            <w:tcMar>
              <w:top w:w="60" w:type="dxa"/>
              <w:left w:w="110" w:type="dxa"/>
              <w:bottom w:w="60" w:type="dxa"/>
              <w:right w:w="110" w:type="dxa"/>
            </w:tcMar>
            <w:vAlign w:val="top"/>
          </w:tcPr>
          <w:p w14:paraId="001006B0" w14:textId="001006B1">
            <w:r>
              <w:rPr>
                <w:sz w:val="18"/>
              </w:rPr>
              <w:t xml:space="preserve">I</w:t>
            </w:r>
          </w:p>
        </w:tc>
      </w:tr>
    </w:tbl>
    <w:p w14:paraId="001006B2" w14:textId="001006B3">
      <w:pPr>
        <w:pStyle w:val="Heading1"/>
        <w:keepNext/>
        <w:keepLines/>
        <w:pageBreakBefore/>
        <w:spacing w:before="360" w:after="160"/>
      </w:pPr>
      <w:r>
        <w:rPr>
          <w:rFonts w:ascii="Calibri" w:hAnsi="Calibri" w:eastAsia="Calibri"/>
          <w:b/>
          <w:color w:val="005A4B"/>
          <w:sz w:val="30"/>
        </w:rPr>
        <w:t xml:space="preserve">Schedule E — Service credit claim</w:t>
      </w:r>
    </w:p>
    <w:p w14:paraId="001006B4" w14:textId="001006B5">
      <w:pPr>
        <w:spacing w:after="200"/>
        <w:jc w:val="both"/>
      </w:pPr>
      <w:r>
        <w:rPr>
          <w:rFonts w:ascii="Calibri" w:hAnsi="Calibri" w:eastAsia="Calibri"/>
          <w:color w:val="34322D"/>
          <w:sz w:val="21"/>
        </w:rPr>
        <w:t xml:space="preserve">Complete this schedule and email it to info@sitesafetyuae.com within thirty (30) days of the end of the affected month. The Provider shall confirm or dispute the claim within ten (10) Business Days.</w:t>
      </w:r>
    </w:p>
    <w:tbl>
      <w:tblPr>
        <w:tblW w:w="5000" w:type="pct"/>
        <w:tblBorders>
          <w:top w:val="single" w:color="DCDCDC" w:sz="4"/>
          <w:left w:val="single" w:color="DCDCDC" w:sz="4"/>
          <w:bottom w:val="single" w:color="DCDCDC" w:sz="4"/>
          <w:right w:val="single" w:color="DCDCDC" w:sz="4"/>
          <w:insideH w:val="single" w:color="DCDCDC" w:sz="4"/>
          <w:insideV w:val="none" w:sz="4"/>
        </w:tblBorders>
      </w:tblPr>
      <w:tblGrid>
        <w:gridCol w:w="3000"/>
        <w:gridCol w:w="6072"/>
      </w:tblGrid>
      <w:tr>
        <w:trPr/>
        <w:tc>
          <w:tcPr>
            <w:shd w:val="clear" w:fill="F0F0F0"/>
            <w:tcMar>
              <w:top w:w="60" w:type="dxa"/>
              <w:left w:w="110" w:type="dxa"/>
              <w:bottom w:w="60" w:type="dxa"/>
              <w:right w:w="110" w:type="dxa"/>
            </w:tcMar>
            <w:vAlign w:val="top"/>
          </w:tcPr>
          <w:p w14:paraId="001006B6" w14:textId="001006B7">
            <w:r>
              <w:rPr>
                <w:b/>
                <w:color w:val="34322D"/>
                <w:sz w:val="18"/>
              </w:rPr>
              <w:t xml:space="preserve">Field</w:t>
            </w:r>
          </w:p>
        </w:tc>
        <w:tc>
          <w:tcPr>
            <w:shd w:val="clear" w:fill="F0F0F0"/>
            <w:tcMar>
              <w:top w:w="60" w:type="dxa"/>
              <w:left w:w="110" w:type="dxa"/>
              <w:bottom w:w="60" w:type="dxa"/>
              <w:right w:w="110" w:type="dxa"/>
            </w:tcMar>
            <w:vAlign w:val="top"/>
          </w:tcPr>
          <w:p w14:paraId="001006B8" w14:textId="001006B9">
            <w:r>
              <w:rPr>
                <w:b/>
                <w:color w:val="34322D"/>
                <w:sz w:val="18"/>
              </w:rPr>
              <w:t xml:space="preserve">Entry</w:t>
            </w:r>
          </w:p>
        </w:tc>
      </w:tr>
      <w:tr>
        <w:trPr/>
        <w:tc>
          <w:tcPr>
            <w:shd w:val="clear" w:fill="F7F7F7"/>
            <w:tcMar>
              <w:top w:w="60" w:type="dxa"/>
              <w:left w:w="110" w:type="dxa"/>
              <w:bottom w:w="60" w:type="dxa"/>
              <w:right w:w="110" w:type="dxa"/>
            </w:tcMar>
            <w:vAlign w:val="top"/>
          </w:tcPr>
          <w:p w14:paraId="001006BA" w14:textId="001006BB">
            <w:r>
              <w:rPr>
                <w:b w:val="false"/>
                <w:sz w:val="19"/>
              </w:rPr>
              <w:t xml:space="preserve">Customer legal name</w:t>
            </w:r>
          </w:p>
        </w:tc>
        <w:tc>
          <w:tcPr>
            <w:tcMar>
              <w:top w:w="60" w:type="dxa"/>
              <w:left w:w="110" w:type="dxa"/>
              <w:bottom w:w="60" w:type="dxa"/>
              <w:right w:w="110" w:type="dxa"/>
            </w:tcMar>
            <w:vAlign w:val="top"/>
          </w:tcPr>
          <w:p w14:paraId="001006BC" w14:textId="001006BD">
            <w:r>
              <w:rPr>
                <w:sz w:val="19"/>
              </w:rPr>
              <w:t xml:space="preserve">[Customer legal name]</w:t>
            </w:r>
          </w:p>
        </w:tc>
      </w:tr>
      <w:tr>
        <w:trPr/>
        <w:tc>
          <w:tcPr>
            <w:shd w:val="clear" w:fill="F7F7F7"/>
            <w:tcMar>
              <w:top w:w="60" w:type="dxa"/>
              <w:left w:w="110" w:type="dxa"/>
              <w:bottom w:w="60" w:type="dxa"/>
              <w:right w:w="110" w:type="dxa"/>
            </w:tcMar>
            <w:vAlign w:val="top"/>
          </w:tcPr>
          <w:p w14:paraId="001006BE" w14:textId="001006BF">
            <w:r>
              <w:rPr>
                <w:b w:val="false"/>
                <w:sz w:val="19"/>
              </w:rPr>
              <w:t xml:space="preserve">Evaluation reference</w:t>
            </w:r>
          </w:p>
        </w:tc>
        <w:tc>
          <w:tcPr>
            <w:tcMar>
              <w:top w:w="60" w:type="dxa"/>
              <w:left w:w="110" w:type="dxa"/>
              <w:bottom w:w="60" w:type="dxa"/>
              <w:right w:w="110" w:type="dxa"/>
            </w:tcMar>
            <w:vAlign w:val="top"/>
          </w:tcPr>
          <w:p w14:paraId="001006C0" w14:textId="001006C1">
            <w:r>
              <w:rPr>
                <w:sz w:val="19"/>
              </w:rPr>
              <w:t xml:space="preserve">[SSUAE-EVAL-YYYY-###]</w:t>
            </w:r>
          </w:p>
        </w:tc>
      </w:tr>
      <w:tr>
        <w:trPr/>
        <w:tc>
          <w:tcPr>
            <w:shd w:val="clear" w:fill="F7F7F7"/>
            <w:tcMar>
              <w:top w:w="60" w:type="dxa"/>
              <w:left w:w="110" w:type="dxa"/>
              <w:bottom w:w="60" w:type="dxa"/>
              <w:right w:w="110" w:type="dxa"/>
            </w:tcMar>
            <w:vAlign w:val="top"/>
          </w:tcPr>
          <w:p w14:paraId="001006C2" w14:textId="001006C3">
            <w:r>
              <w:rPr>
                <w:b w:val="false"/>
                <w:sz w:val="19"/>
              </w:rPr>
              <w:t xml:space="preserve">Customer administrator</w:t>
            </w:r>
          </w:p>
        </w:tc>
        <w:tc>
          <w:tcPr>
            <w:tcMar>
              <w:top w:w="60" w:type="dxa"/>
              <w:left w:w="110" w:type="dxa"/>
              <w:bottom w:w="60" w:type="dxa"/>
              <w:right w:w="110" w:type="dxa"/>
            </w:tcMar>
            <w:vAlign w:val="top"/>
          </w:tcPr>
          <w:p w14:paraId="001006C4" w14:textId="001006C5">
            <w:r>
              <w:rPr>
                <w:sz w:val="19"/>
              </w:rPr>
              <w:t xml:space="preserve">[name and email address]</w:t>
            </w:r>
          </w:p>
        </w:tc>
      </w:tr>
      <w:tr>
        <w:trPr/>
        <w:tc>
          <w:tcPr>
            <w:shd w:val="clear" w:fill="F7F7F7"/>
            <w:tcMar>
              <w:top w:w="60" w:type="dxa"/>
              <w:left w:w="110" w:type="dxa"/>
              <w:bottom w:w="60" w:type="dxa"/>
              <w:right w:w="110" w:type="dxa"/>
            </w:tcMar>
            <w:vAlign w:val="top"/>
          </w:tcPr>
          <w:p w14:paraId="001006C6" w14:textId="001006C7">
            <w:r>
              <w:rPr>
                <w:b w:val="false"/>
                <w:sz w:val="19"/>
              </w:rPr>
              <w:t xml:space="preserve">Affected calendar month</w:t>
            </w:r>
          </w:p>
        </w:tc>
        <w:tc>
          <w:tcPr>
            <w:tcMar>
              <w:top w:w="60" w:type="dxa"/>
              <w:left w:w="110" w:type="dxa"/>
              <w:bottom w:w="60" w:type="dxa"/>
              <w:right w:w="110" w:type="dxa"/>
            </w:tcMar>
            <w:vAlign w:val="top"/>
          </w:tcPr>
          <w:p w14:paraId="001006C8" w14:textId="001006C9">
            <w:r>
              <w:rPr>
                <w:sz w:val="19"/>
              </w:rPr>
              <w:t xml:space="preserve">[Month YYYY]</w:t>
            </w:r>
          </w:p>
        </w:tc>
      </w:tr>
      <w:tr>
        <w:trPr/>
        <w:tc>
          <w:tcPr>
            <w:shd w:val="clear" w:fill="F7F7F7"/>
            <w:tcMar>
              <w:top w:w="60" w:type="dxa"/>
              <w:left w:w="110" w:type="dxa"/>
              <w:bottom w:w="60" w:type="dxa"/>
              <w:right w:w="110" w:type="dxa"/>
            </w:tcMar>
            <w:vAlign w:val="top"/>
          </w:tcPr>
          <w:p w14:paraId="001006CA" w14:textId="001006CB">
            <w:r>
              <w:rPr>
                <w:b w:val="false"/>
                <w:sz w:val="19"/>
              </w:rPr>
              <w:t xml:space="preserve">Measured Uptime Percentage claimed</w:t>
            </w:r>
          </w:p>
        </w:tc>
        <w:tc>
          <w:tcPr>
            <w:tcMar>
              <w:top w:w="60" w:type="dxa"/>
              <w:left w:w="110" w:type="dxa"/>
              <w:bottom w:w="60" w:type="dxa"/>
              <w:right w:w="110" w:type="dxa"/>
            </w:tcMar>
            <w:vAlign w:val="top"/>
          </w:tcPr>
          <w:p w14:paraId="001006CC" w14:textId="001006CD">
            <w:r>
              <w:rPr>
                <w:sz w:val="19"/>
              </w:rPr>
              <w:t xml:space="preserve">[xx.xx%]</w:t>
            </w:r>
          </w:p>
        </w:tc>
      </w:tr>
      <w:tr>
        <w:trPr/>
        <w:tc>
          <w:tcPr>
            <w:shd w:val="clear" w:fill="F7F7F7"/>
            <w:tcMar>
              <w:top w:w="60" w:type="dxa"/>
              <w:left w:w="110" w:type="dxa"/>
              <w:bottom w:w="60" w:type="dxa"/>
              <w:right w:w="110" w:type="dxa"/>
            </w:tcMar>
            <w:vAlign w:val="top"/>
          </w:tcPr>
          <w:p w14:paraId="001006CE" w14:textId="001006CF">
            <w:r>
              <w:rPr>
                <w:b w:val="false"/>
                <w:sz w:val="19"/>
              </w:rPr>
              <w:t xml:space="preserve">Downtime events relied on</w:t>
            </w:r>
          </w:p>
        </w:tc>
        <w:tc>
          <w:tcPr>
            <w:tcMar>
              <w:top w:w="60" w:type="dxa"/>
              <w:left w:w="110" w:type="dxa"/>
              <w:bottom w:w="60" w:type="dxa"/>
              <w:right w:w="110" w:type="dxa"/>
            </w:tcMar>
            <w:vAlign w:val="top"/>
          </w:tcPr>
          <w:p w14:paraId="001006D0" w14:textId="001006D1">
            <w:r>
              <w:rPr>
                <w:sz w:val="19"/>
              </w:rPr>
              <w:t xml:space="preserve">[date and time (GST), duration, affected workflow, ticket reference]</w:t>
            </w:r>
          </w:p>
        </w:tc>
      </w:tr>
      <w:tr>
        <w:trPr/>
        <w:tc>
          <w:tcPr>
            <w:shd w:val="clear" w:fill="F7F7F7"/>
            <w:tcMar>
              <w:top w:w="60" w:type="dxa"/>
              <w:left w:w="110" w:type="dxa"/>
              <w:bottom w:w="60" w:type="dxa"/>
              <w:right w:w="110" w:type="dxa"/>
            </w:tcMar>
            <w:vAlign w:val="top"/>
          </w:tcPr>
          <w:p w14:paraId="001006D2" w14:textId="001006D3">
            <w:r>
              <w:rPr>
                <w:b w:val="false"/>
                <w:sz w:val="19"/>
              </w:rPr>
              <w:t xml:space="preserve">Whether a partial-degradation weighting is claimed</w:t>
            </w:r>
          </w:p>
        </w:tc>
        <w:tc>
          <w:tcPr>
            <w:tcMar>
              <w:top w:w="60" w:type="dxa"/>
              <w:left w:w="110" w:type="dxa"/>
              <w:bottom w:w="60" w:type="dxa"/>
              <w:right w:w="110" w:type="dxa"/>
            </w:tcMar>
            <w:vAlign w:val="top"/>
          </w:tcPr>
          <w:p w14:paraId="001006D4" w14:textId="001006D5">
            <w:r>
              <w:rPr>
                <w:sz w:val="19"/>
              </w:rPr>
              <w:t xml:space="preserve">[Yes / No — if yes, describe the affected workflow]</w:t>
            </w:r>
          </w:p>
        </w:tc>
      </w:tr>
      <w:tr>
        <w:trPr/>
        <w:tc>
          <w:tcPr>
            <w:shd w:val="clear" w:fill="F7F7F7"/>
            <w:tcMar>
              <w:top w:w="60" w:type="dxa"/>
              <w:left w:w="110" w:type="dxa"/>
              <w:bottom w:w="60" w:type="dxa"/>
              <w:right w:w="110" w:type="dxa"/>
            </w:tcMar>
            <w:vAlign w:val="top"/>
          </w:tcPr>
          <w:p w14:paraId="001006D6" w14:textId="001006D7">
            <w:r>
              <w:rPr>
                <w:b w:val="false"/>
                <w:sz w:val="19"/>
              </w:rPr>
              <w:t xml:space="preserve">Service Credit band claimed</w:t>
            </w:r>
          </w:p>
        </w:tc>
        <w:tc>
          <w:tcPr>
            <w:tcMar>
              <w:top w:w="60" w:type="dxa"/>
              <w:left w:w="110" w:type="dxa"/>
              <w:bottom w:w="60" w:type="dxa"/>
              <w:right w:w="110" w:type="dxa"/>
            </w:tcMar>
            <w:vAlign w:val="top"/>
          </w:tcPr>
          <w:p w14:paraId="001006D8" w14:textId="001006D9">
            <w:r>
              <w:rPr>
                <w:sz w:val="19"/>
              </w:rPr>
              <w:t xml:space="preserve">[band from Schedule B5]</w:t>
            </w:r>
          </w:p>
        </w:tc>
      </w:tr>
      <w:tr>
        <w:trPr/>
        <w:tc>
          <w:tcPr>
            <w:shd w:val="clear" w:fill="F7F7F7"/>
            <w:tcMar>
              <w:top w:w="60" w:type="dxa"/>
              <w:left w:w="110" w:type="dxa"/>
              <w:bottom w:w="60" w:type="dxa"/>
              <w:right w:w="110" w:type="dxa"/>
            </w:tcMar>
            <w:vAlign w:val="top"/>
          </w:tcPr>
          <w:p w14:paraId="001006DA" w14:textId="001006DB">
            <w:r>
              <w:rPr>
                <w:b w:val="false"/>
                <w:sz w:val="19"/>
              </w:rPr>
              <w:t xml:space="preserve">Remedy requested</w:t>
            </w:r>
          </w:p>
        </w:tc>
        <w:tc>
          <w:tcPr>
            <w:tcMar>
              <w:top w:w="60" w:type="dxa"/>
              <w:left w:w="110" w:type="dxa"/>
              <w:bottom w:w="60" w:type="dxa"/>
              <w:right w:w="110" w:type="dxa"/>
            </w:tcMar>
            <w:vAlign w:val="top"/>
          </w:tcPr>
          <w:p w14:paraId="001006DC" w14:textId="001006DD">
            <w:r>
              <w:rPr>
                <w:sz w:val="19"/>
              </w:rPr>
              <w:t xml:space="preserve">[Evaluation Period extension / subscription credit on conversion]</w:t>
            </w:r>
          </w:p>
        </w:tc>
      </w:tr>
      <w:tr>
        <w:trPr/>
        <w:tc>
          <w:tcPr>
            <w:shd w:val="clear" w:fill="F7F7F7"/>
            <w:tcMar>
              <w:top w:w="60" w:type="dxa"/>
              <w:left w:w="110" w:type="dxa"/>
              <w:bottom w:w="60" w:type="dxa"/>
              <w:right w:w="110" w:type="dxa"/>
            </w:tcMar>
            <w:vAlign w:val="top"/>
          </w:tcPr>
          <w:p w14:paraId="001006DE" w14:textId="001006DF">
            <w:r>
              <w:rPr>
                <w:b w:val="false"/>
                <w:sz w:val="19"/>
              </w:rPr>
              <w:t xml:space="preserve">Supporting evidence attached</w:t>
            </w:r>
          </w:p>
        </w:tc>
        <w:tc>
          <w:tcPr>
            <w:tcMar>
              <w:top w:w="60" w:type="dxa"/>
              <w:left w:w="110" w:type="dxa"/>
              <w:bottom w:w="60" w:type="dxa"/>
              <w:right w:w="110" w:type="dxa"/>
            </w:tcMar>
            <w:vAlign w:val="top"/>
          </w:tcPr>
          <w:p w14:paraId="001006E0" w14:textId="001006E1">
            <w:r>
              <w:rPr>
                <w:sz w:val="19"/>
              </w:rPr>
              <w:t xml:space="preserve">[availability report, screenshots, ticket references, user reports]</w:t>
            </w:r>
          </w:p>
        </w:tc>
      </w:tr>
      <w:tr>
        <w:trPr/>
        <w:tc>
          <w:tcPr>
            <w:shd w:val="clear" w:fill="F7F7F7"/>
            <w:tcMar>
              <w:top w:w="60" w:type="dxa"/>
              <w:left w:w="110" w:type="dxa"/>
              <w:bottom w:w="60" w:type="dxa"/>
              <w:right w:w="110" w:type="dxa"/>
            </w:tcMar>
            <w:vAlign w:val="top"/>
          </w:tcPr>
          <w:p w14:paraId="001006E2" w14:textId="001006E3">
            <w:r>
              <w:rPr>
                <w:b w:val="false"/>
                <w:sz w:val="19"/>
              </w:rPr>
              <w:t xml:space="preserve">Date of claim</w:t>
            </w:r>
          </w:p>
        </w:tc>
        <w:tc>
          <w:tcPr>
            <w:tcMar>
              <w:top w:w="60" w:type="dxa"/>
              <w:left w:w="110" w:type="dxa"/>
              <w:bottom w:w="60" w:type="dxa"/>
              <w:right w:w="110" w:type="dxa"/>
            </w:tcMar>
            <w:vAlign w:val="top"/>
          </w:tcPr>
          <w:p w14:paraId="001006E4" w14:textId="001006E5">
            <w:r>
              <w:rPr>
                <w:sz w:val="19"/>
              </w:rPr>
              <w:t xml:space="preserve">[DD Month YYYY]</w:t>
            </w:r>
          </w:p>
        </w:tc>
      </w:tr>
    </w:tbl>
    <w:p w14:paraId="001006E6" w14:textId="001006E7">
      <w:pPr>
        <w:spacing w:after="160"/>
        <w:jc w:val="both"/>
      </w:pPr>
      <w:r>
        <w:rPr>
          <w:rFonts w:ascii="Calibri" w:hAnsi="Calibri" w:eastAsia="Calibri"/>
          <w:color w:val="34322D"/>
          <w:sz w:val="21"/>
        </w:rPr>
        <w:t xml:space="preserve">The Provider shall not reject a claim solely because the Customer did not monitor the Service itself, and shall not withhold the measured Uptime Percentage for the affected month.</w:t>
      </w:r>
    </w:p>
    <w:p w14:paraId="001006E8" w14:textId="001006E9">
      <w:pPr>
        <w:pStyle w:val="Heading1"/>
        <w:keepNext/>
        <w:keepLines/>
        <w:spacing w:before="360" w:after="160"/>
      </w:pPr>
      <w:r>
        <w:rPr>
          <w:rFonts w:ascii="Calibri" w:hAnsi="Calibri" w:eastAsia="Calibri"/>
          <w:b/>
          <w:color w:val="005A4B"/>
          <w:sz w:val="30"/>
        </w:rPr>
        <w:t xml:space="preserve">Schedule F — Authorised users and notice details</w:t>
      </w:r>
    </w:p>
    <w:p w14:paraId="001006EA" w14:textId="001006EB">
      <w:pPr>
        <w:spacing w:after="200"/>
        <w:jc w:val="both"/>
      </w:pPr>
      <w:r>
        <w:rPr>
          <w:rFonts w:ascii="Calibri" w:hAnsi="Calibri" w:eastAsia="Calibri"/>
          <w:color w:val="34322D"/>
          <w:sz w:val="21"/>
        </w:rPr>
        <w:t xml:space="preserve">The Customer shall complete this schedule before the first User is invited and shall keep it up to date. It may be updated by written notice to the Provider's administrator without varying any other provision of this Agreement.</w:t>
      </w:r>
    </w:p>
    <w:tbl>
      <w:tblPr>
        <w:tblW w:w="5000" w:type="pct"/>
        <w:tblBorders>
          <w:top w:val="single" w:color="DCDCDC" w:sz="4"/>
          <w:left w:val="single" w:color="DCDCDC" w:sz="4"/>
          <w:bottom w:val="single" w:color="DCDCDC" w:sz="4"/>
          <w:right w:val="single" w:color="DCDCDC" w:sz="4"/>
          <w:insideH w:val="single" w:color="DCDCDC" w:sz="4"/>
          <w:insideV w:val="none" w:sz="4"/>
        </w:tblBorders>
      </w:tblPr>
      <w:tblGrid>
        <w:gridCol w:w="2400"/>
        <w:gridCol w:w="2300"/>
        <w:gridCol w:w="2100"/>
        <w:gridCol w:w="2272"/>
      </w:tblGrid>
      <w:tr>
        <w:trPr/>
        <w:tc>
          <w:tcPr>
            <w:shd w:val="clear" w:fill="F0F0F0"/>
            <w:tcMar>
              <w:top w:w="60" w:type="dxa"/>
              <w:left w:w="110" w:type="dxa"/>
              <w:bottom w:w="60" w:type="dxa"/>
              <w:right w:w="110" w:type="dxa"/>
            </w:tcMar>
            <w:vAlign w:val="top"/>
          </w:tcPr>
          <w:p w14:paraId="001006EC" w14:textId="001006ED">
            <w:r>
              <w:rPr>
                <w:b/>
                <w:color w:val="34322D"/>
                <w:sz w:val="18"/>
              </w:rPr>
              <w:t xml:space="preserve">Party</w:t>
            </w:r>
          </w:p>
        </w:tc>
        <w:tc>
          <w:tcPr>
            <w:shd w:val="clear" w:fill="F0F0F0"/>
            <w:tcMar>
              <w:top w:w="60" w:type="dxa"/>
              <w:left w:w="110" w:type="dxa"/>
              <w:bottom w:w="60" w:type="dxa"/>
              <w:right w:w="110" w:type="dxa"/>
            </w:tcMar>
            <w:vAlign w:val="top"/>
          </w:tcPr>
          <w:p w14:paraId="001006EE" w14:textId="001006EF">
            <w:r>
              <w:rPr>
                <w:b/>
                <w:color w:val="34322D"/>
                <w:sz w:val="18"/>
              </w:rPr>
              <w:t xml:space="preserve">Notice email</w:t>
            </w:r>
          </w:p>
        </w:tc>
        <w:tc>
          <w:tcPr>
            <w:shd w:val="clear" w:fill="F0F0F0"/>
            <w:tcMar>
              <w:top w:w="60" w:type="dxa"/>
              <w:left w:w="110" w:type="dxa"/>
              <w:bottom w:w="60" w:type="dxa"/>
              <w:right w:w="110" w:type="dxa"/>
            </w:tcMar>
            <w:vAlign w:val="top"/>
          </w:tcPr>
          <w:p w14:paraId="001006F0" w14:textId="001006F1">
            <w:r>
              <w:rPr>
                <w:b/>
                <w:color w:val="34322D"/>
                <w:sz w:val="18"/>
              </w:rPr>
              <w:t xml:space="preserve">Authorised signatory</w:t>
            </w:r>
          </w:p>
        </w:tc>
        <w:tc>
          <w:tcPr>
            <w:shd w:val="clear" w:fill="F0F0F0"/>
            <w:tcMar>
              <w:top w:w="60" w:type="dxa"/>
              <w:left w:w="110" w:type="dxa"/>
              <w:bottom w:w="60" w:type="dxa"/>
              <w:right w:w="110" w:type="dxa"/>
            </w:tcMar>
            <w:vAlign w:val="top"/>
          </w:tcPr>
          <w:p w14:paraId="001006F2" w14:textId="001006F3">
            <w:r>
              <w:rPr>
                <w:b/>
                <w:color w:val="34322D"/>
                <w:sz w:val="18"/>
              </w:rPr>
              <w:t xml:space="preserve">Administrator</w:t>
            </w:r>
          </w:p>
        </w:tc>
      </w:tr>
      <w:tr>
        <w:trPr/>
        <w:tc>
          <w:tcPr>
            <w:shd w:val="clear" w:fill="F7F7F7"/>
            <w:tcMar>
              <w:top w:w="60" w:type="dxa"/>
              <w:left w:w="110" w:type="dxa"/>
              <w:bottom w:w="60" w:type="dxa"/>
              <w:right w:w="110" w:type="dxa"/>
            </w:tcMar>
            <w:vAlign w:val="top"/>
          </w:tcPr>
          <w:p w14:paraId="001006F4" w14:textId="001006F5">
            <w:r>
              <w:rPr>
                <w:b w:val="false"/>
                <w:sz w:val="18"/>
              </w:rPr>
              <w:t xml:space="preserve">Site Safety LLC (trading as Site Safety UAE)</w:t>
            </w:r>
          </w:p>
        </w:tc>
        <w:tc>
          <w:tcPr>
            <w:tcMar>
              <w:top w:w="60" w:type="dxa"/>
              <w:left w:w="110" w:type="dxa"/>
              <w:bottom w:w="60" w:type="dxa"/>
              <w:right w:w="110" w:type="dxa"/>
            </w:tcMar>
            <w:vAlign w:val="top"/>
          </w:tcPr>
          <w:p w14:paraId="001006F6" w14:textId="001006F7">
            <w:r>
              <w:rPr>
                <w:sz w:val="18"/>
              </w:rPr>
              <w:t xml:space="preserve">info@sitesafetyuae.com</w:t>
            </w:r>
          </w:p>
        </w:tc>
        <w:tc>
          <w:tcPr>
            <w:tcMar>
              <w:top w:w="60" w:type="dxa"/>
              <w:left w:w="110" w:type="dxa"/>
              <w:bottom w:w="60" w:type="dxa"/>
              <w:right w:w="110" w:type="dxa"/>
            </w:tcMar>
            <w:vAlign w:val="top"/>
          </w:tcPr>
          <w:p w14:paraId="001006F8" w14:textId="001006F9">
            <w:r>
              <w:rPr>
                <w:sz w:val="18"/>
              </w:rPr>
              <w:t xml:space="preserve">Founder, Site Safety LLC</w:t>
            </w:r>
          </w:p>
        </w:tc>
        <w:tc>
          <w:tcPr>
            <w:tcMar>
              <w:top w:w="60" w:type="dxa"/>
              <w:left w:w="110" w:type="dxa"/>
              <w:bottom w:w="60" w:type="dxa"/>
              <w:right w:w="110" w:type="dxa"/>
            </w:tcMar>
            <w:vAlign w:val="top"/>
          </w:tcPr>
          <w:p w14:paraId="001006FA" w14:textId="001006FB">
            <w:r>
              <w:rPr>
                <w:sz w:val="18"/>
              </w:rPr>
              <w:t xml:space="preserve">Founder, Site Safety LLC</w:t>
            </w:r>
          </w:p>
        </w:tc>
      </w:tr>
      <w:tr>
        <w:trPr/>
        <w:tc>
          <w:tcPr>
            <w:shd w:val="clear" w:fill="F7F7F7"/>
            <w:tcMar>
              <w:top w:w="60" w:type="dxa"/>
              <w:left w:w="110" w:type="dxa"/>
              <w:bottom w:w="60" w:type="dxa"/>
              <w:right w:w="110" w:type="dxa"/>
            </w:tcMar>
            <w:vAlign w:val="top"/>
          </w:tcPr>
          <w:p w14:paraId="001006FC" w14:textId="001006FD">
            <w:r>
              <w:rPr>
                <w:b w:val="false"/>
                <w:sz w:val="18"/>
              </w:rPr>
              <w:t xml:space="preserve">[Customer legal name]</w:t>
            </w:r>
          </w:p>
        </w:tc>
        <w:tc>
          <w:tcPr>
            <w:tcMar>
              <w:top w:w="60" w:type="dxa"/>
              <w:left w:w="110" w:type="dxa"/>
              <w:bottom w:w="60" w:type="dxa"/>
              <w:right w:w="110" w:type="dxa"/>
            </w:tcMar>
            <w:vAlign w:val="top"/>
          </w:tcPr>
          <w:p w14:paraId="001006FE" w14:textId="001006FF">
            <w:r>
              <w:rPr>
                <w:sz w:val="18"/>
              </w:rPr>
              <w:t xml:space="preserve">[name@company.com]</w:t>
            </w:r>
          </w:p>
        </w:tc>
        <w:tc>
          <w:tcPr>
            <w:tcMar>
              <w:top w:w="60" w:type="dxa"/>
              <w:left w:w="110" w:type="dxa"/>
              <w:bottom w:w="60" w:type="dxa"/>
              <w:right w:w="110" w:type="dxa"/>
            </w:tcMar>
            <w:vAlign w:val="top"/>
          </w:tcPr>
          <w:p w14:paraId="00100700" w14:textId="00100701">
            <w:r>
              <w:rPr>
                <w:sz w:val="18"/>
              </w:rPr>
              <w:t xml:space="preserve">[name and title]</w:t>
            </w:r>
          </w:p>
        </w:tc>
        <w:tc>
          <w:tcPr>
            <w:tcMar>
              <w:top w:w="60" w:type="dxa"/>
              <w:left w:w="110" w:type="dxa"/>
              <w:bottom w:w="60" w:type="dxa"/>
              <w:right w:w="110" w:type="dxa"/>
            </w:tcMar>
            <w:vAlign w:val="top"/>
          </w:tcPr>
          <w:p w14:paraId="00100702" w14:textId="00100703">
            <w:r>
              <w:rPr>
                <w:sz w:val="18"/>
              </w:rPr>
              <w:t xml:space="preserve">[name and title]</w:t>
            </w:r>
          </w:p>
        </w:tc>
      </w:tr>
    </w:tbl>
    <w:p w14:paraId="00100704" w14:textId="00100705">
      <w:pPr>
        <w:keepNext/>
        <w:spacing w:before="480" w:after="160"/>
        <w:jc w:val="left"/>
      </w:pPr>
      <w:r>
        <w:rPr>
          <w:rFonts w:ascii="Calibri" w:hAnsi="Calibri" w:eastAsia="Calibri"/>
          <w:b/>
          <w:color w:val="005A4B"/>
          <w:sz w:val="27"/>
        </w:rPr>
        <w:t xml:space="preserve">Named users</w:t>
      </w:r>
    </w:p>
    <w:tbl>
      <w:tblPr>
        <w:tblW w:w="5000" w:type="pct"/>
        <w:tblBorders>
          <w:top w:val="single" w:color="DCDCDC" w:sz="4"/>
          <w:left w:val="single" w:color="DCDCDC" w:sz="4"/>
          <w:bottom w:val="single" w:color="DCDCDC" w:sz="4"/>
          <w:right w:val="single" w:color="DCDCDC" w:sz="4"/>
          <w:insideH w:val="single" w:color="DCDCDC" w:sz="4"/>
          <w:insideV w:val="none" w:sz="4"/>
        </w:tblBorders>
      </w:tblPr>
      <w:tblGrid>
        <w:gridCol w:w="500"/>
        <w:gridCol w:w="1700"/>
        <w:gridCol w:w="2400"/>
        <w:gridCol w:w="1600"/>
        <w:gridCol w:w="1100"/>
        <w:gridCol w:w="1100"/>
        <w:gridCol w:w="672"/>
      </w:tblGrid>
      <w:tr>
        <w:trPr/>
        <w:tc>
          <w:tcPr>
            <w:shd w:val="clear" w:fill="F0F0F0"/>
            <w:tcMar>
              <w:top w:w="60" w:type="dxa"/>
              <w:left w:w="110" w:type="dxa"/>
              <w:bottom w:w="60" w:type="dxa"/>
              <w:right w:w="110" w:type="dxa"/>
            </w:tcMar>
            <w:vAlign w:val="top"/>
          </w:tcPr>
          <w:p w14:paraId="00100706" w14:textId="00100707">
            <w:r>
              <w:rPr>
                <w:b/>
                <w:color w:val="34322D"/>
                <w:sz w:val="18"/>
              </w:rPr>
              <w:t xml:space="preserve">#</w:t>
            </w:r>
          </w:p>
        </w:tc>
        <w:tc>
          <w:tcPr>
            <w:shd w:val="clear" w:fill="F0F0F0"/>
            <w:tcMar>
              <w:top w:w="60" w:type="dxa"/>
              <w:left w:w="110" w:type="dxa"/>
              <w:bottom w:w="60" w:type="dxa"/>
              <w:right w:w="110" w:type="dxa"/>
            </w:tcMar>
            <w:vAlign w:val="top"/>
          </w:tcPr>
          <w:p w14:paraId="00100708" w14:textId="00100709">
            <w:r>
              <w:rPr>
                <w:b/>
                <w:color w:val="34322D"/>
                <w:sz w:val="18"/>
              </w:rPr>
              <w:t xml:space="preserve">Full name</w:t>
            </w:r>
          </w:p>
        </w:tc>
        <w:tc>
          <w:tcPr>
            <w:shd w:val="clear" w:fill="F0F0F0"/>
            <w:tcMar>
              <w:top w:w="60" w:type="dxa"/>
              <w:left w:w="110" w:type="dxa"/>
              <w:bottom w:w="60" w:type="dxa"/>
              <w:right w:w="110" w:type="dxa"/>
            </w:tcMar>
            <w:vAlign w:val="top"/>
          </w:tcPr>
          <w:p w14:paraId="0010070A" w14:textId="0010070B">
            <w:r>
              <w:rPr>
                <w:b/>
                <w:color w:val="34322D"/>
                <w:sz w:val="18"/>
              </w:rPr>
              <w:t xml:space="preserve">Company email</w:t>
            </w:r>
          </w:p>
        </w:tc>
        <w:tc>
          <w:tcPr>
            <w:shd w:val="clear" w:fill="F0F0F0"/>
            <w:tcMar>
              <w:top w:w="60" w:type="dxa"/>
              <w:left w:w="110" w:type="dxa"/>
              <w:bottom w:w="60" w:type="dxa"/>
              <w:right w:w="110" w:type="dxa"/>
            </w:tcMar>
            <w:vAlign w:val="top"/>
          </w:tcPr>
          <w:p w14:paraId="0010070C" w14:textId="0010070D">
            <w:r>
              <w:rPr>
                <w:b/>
                <w:color w:val="34322D"/>
                <w:sz w:val="18"/>
              </w:rPr>
              <w:t xml:space="preserve">Role</w:t>
            </w:r>
          </w:p>
        </w:tc>
        <w:tc>
          <w:tcPr>
            <w:shd w:val="clear" w:fill="F0F0F0"/>
            <w:tcMar>
              <w:top w:w="60" w:type="dxa"/>
              <w:left w:w="110" w:type="dxa"/>
              <w:bottom w:w="60" w:type="dxa"/>
              <w:right w:w="110" w:type="dxa"/>
            </w:tcMar>
            <w:vAlign w:val="top"/>
          </w:tcPr>
          <w:p w14:paraId="0010070E" w14:textId="0010070F">
            <w:r>
              <w:rPr>
                <w:b/>
                <w:color w:val="34322D"/>
                <w:sz w:val="18"/>
              </w:rPr>
              <w:t xml:space="preserve">Sites</w:t>
            </w:r>
          </w:p>
        </w:tc>
        <w:tc>
          <w:tcPr>
            <w:shd w:val="clear" w:fill="F0F0F0"/>
            <w:tcMar>
              <w:top w:w="60" w:type="dxa"/>
              <w:left w:w="110" w:type="dxa"/>
              <w:bottom w:w="60" w:type="dxa"/>
              <w:right w:w="110" w:type="dxa"/>
            </w:tcMar>
            <w:vAlign w:val="top"/>
          </w:tcPr>
          <w:p w14:paraId="00100710" w14:textId="00100711">
            <w:r>
              <w:rPr>
                <w:b/>
                <w:color w:val="34322D"/>
                <w:sz w:val="18"/>
              </w:rPr>
              <w:t xml:space="preserve">Date added</w:t>
            </w:r>
          </w:p>
        </w:tc>
        <w:tc>
          <w:tcPr>
            <w:shd w:val="clear" w:fill="F0F0F0"/>
            <w:tcMar>
              <w:top w:w="60" w:type="dxa"/>
              <w:left w:w="110" w:type="dxa"/>
              <w:bottom w:w="60" w:type="dxa"/>
              <w:right w:w="110" w:type="dxa"/>
            </w:tcMar>
            <w:vAlign w:val="top"/>
          </w:tcPr>
          <w:p w14:paraId="00100712" w14:textId="00100713">
            <w:r>
              <w:rPr>
                <w:b/>
                <w:color w:val="34322D"/>
                <w:sz w:val="18"/>
              </w:rPr>
              <w:t xml:space="preserve">Date removed</w:t>
            </w:r>
          </w:p>
        </w:tc>
      </w:tr>
      <w:tr>
        <w:trPr/>
        <w:tc>
          <w:tcPr>
            <w:tcMar>
              <w:top w:w="60" w:type="dxa"/>
              <w:left w:w="110" w:type="dxa"/>
              <w:bottom w:w="60" w:type="dxa"/>
              <w:right w:w="110" w:type="dxa"/>
            </w:tcMar>
            <w:vAlign w:val="top"/>
          </w:tcPr>
          <w:p w14:paraId="00100714" w14:textId="00100715">
            <w:r>
              <w:rPr>
                <w:sz w:val="18"/>
              </w:rPr>
              <w:t xml:space="preserve">1</w:t>
            </w:r>
          </w:p>
        </w:tc>
        <w:tc>
          <w:tcPr>
            <w:tcMar>
              <w:top w:w="60" w:type="dxa"/>
              <w:left w:w="110" w:type="dxa"/>
              <w:bottom w:w="60" w:type="dxa"/>
              <w:right w:w="110" w:type="dxa"/>
            </w:tcMar>
            <w:vAlign w:val="top"/>
          </w:tcPr>
          <w:p w14:paraId="00100716" w14:textId="00100717">
            <w:r>
              <w:rPr>
                <w:sz w:val="18"/>
              </w:rPr>
              <w:t xml:space="preserve">[name]</w:t>
            </w:r>
          </w:p>
        </w:tc>
        <w:tc>
          <w:tcPr>
            <w:tcMar>
              <w:top w:w="60" w:type="dxa"/>
              <w:left w:w="110" w:type="dxa"/>
              <w:bottom w:w="60" w:type="dxa"/>
              <w:right w:w="110" w:type="dxa"/>
            </w:tcMar>
            <w:vAlign w:val="top"/>
          </w:tcPr>
          <w:p w14:paraId="00100718" w14:textId="00100719">
            <w:r>
              <w:rPr>
                <w:sz w:val="18"/>
              </w:rPr>
              <w:t xml:space="preserve">[name@company.com]</w:t>
            </w:r>
          </w:p>
        </w:tc>
        <w:tc>
          <w:tcPr>
            <w:tcMar>
              <w:top w:w="60" w:type="dxa"/>
              <w:left w:w="110" w:type="dxa"/>
              <w:bottom w:w="60" w:type="dxa"/>
              <w:right w:w="110" w:type="dxa"/>
            </w:tcMar>
            <w:vAlign w:val="top"/>
          </w:tcPr>
          <w:p w14:paraId="0010071A" w14:textId="0010071B">
            <w:r>
              <w:rPr>
                <w:sz w:val="18"/>
              </w:rPr>
              <w:t xml:space="preserve">[Administrator]</w:t>
            </w:r>
          </w:p>
        </w:tc>
        <w:tc>
          <w:tcPr>
            <w:tcMar>
              <w:top w:w="60" w:type="dxa"/>
              <w:left w:w="110" w:type="dxa"/>
              <w:bottom w:w="60" w:type="dxa"/>
              <w:right w:w="110" w:type="dxa"/>
            </w:tcMar>
            <w:vAlign w:val="top"/>
          </w:tcPr>
          <w:p w14:paraId="0010071C" w14:textId="0010071D">
            <w:r>
              <w:rPr>
                <w:sz w:val="18"/>
              </w:rPr>
              <w:t xml:space="preserve">[all]</w:t>
            </w:r>
          </w:p>
        </w:tc>
        <w:tc>
          <w:tcPr>
            <w:tcMar>
              <w:top w:w="60" w:type="dxa"/>
              <w:left w:w="110" w:type="dxa"/>
              <w:bottom w:w="60" w:type="dxa"/>
              <w:right w:w="110" w:type="dxa"/>
            </w:tcMar>
            <w:vAlign w:val="top"/>
          </w:tcPr>
          <w:p w14:paraId="0010071E" w14:textId="0010071F">
            <w:r>
              <w:rPr>
                <w:sz w:val="18"/>
              </w:rPr>
              <w:t xml:space="preserve">[date]</w:t>
            </w:r>
          </w:p>
        </w:tc>
        <w:tc>
          <w:tcPr>
            <w:tcMar>
              <w:top w:w="60" w:type="dxa"/>
              <w:left w:w="110" w:type="dxa"/>
              <w:bottom w:w="60" w:type="dxa"/>
              <w:right w:w="110" w:type="dxa"/>
            </w:tcMar>
            <w:vAlign w:val="top"/>
          </w:tcPr>
          <w:p w14:paraId="00100720" w14:textId="00100721">
            <w:r>
              <w:rPr>
                <w:sz w:val="18"/>
              </w:rPr>
              <w:t xml:space="preserve">—</w:t>
            </w:r>
          </w:p>
        </w:tc>
      </w:tr>
      <w:tr>
        <w:trPr/>
        <w:tc>
          <w:tcPr>
            <w:tcMar>
              <w:top w:w="60" w:type="dxa"/>
              <w:left w:w="110" w:type="dxa"/>
              <w:bottom w:w="60" w:type="dxa"/>
              <w:right w:w="110" w:type="dxa"/>
            </w:tcMar>
            <w:vAlign w:val="top"/>
          </w:tcPr>
          <w:p w14:paraId="00100722" w14:textId="00100723">
            <w:r>
              <w:rPr>
                <w:sz w:val="18"/>
              </w:rPr>
              <w:t xml:space="preserve">2</w:t>
            </w:r>
          </w:p>
        </w:tc>
        <w:tc>
          <w:tcPr>
            <w:tcMar>
              <w:top w:w="60" w:type="dxa"/>
              <w:left w:w="110" w:type="dxa"/>
              <w:bottom w:w="60" w:type="dxa"/>
              <w:right w:w="110" w:type="dxa"/>
            </w:tcMar>
            <w:vAlign w:val="top"/>
          </w:tcPr>
          <w:p w14:paraId="00100724" w14:textId="00100725">
            <w:r>
              <w:rPr>
                <w:sz w:val="18"/>
              </w:rPr>
              <w:t xml:space="preserve">[name]</w:t>
            </w:r>
          </w:p>
        </w:tc>
        <w:tc>
          <w:tcPr>
            <w:tcMar>
              <w:top w:w="60" w:type="dxa"/>
              <w:left w:w="110" w:type="dxa"/>
              <w:bottom w:w="60" w:type="dxa"/>
              <w:right w:w="110" w:type="dxa"/>
            </w:tcMar>
            <w:vAlign w:val="top"/>
          </w:tcPr>
          <w:p w14:paraId="00100726" w14:textId="00100727">
            <w:r>
              <w:rPr>
                <w:sz w:val="18"/>
              </w:rPr>
              <w:t xml:space="preserve">[name@company.com]</w:t>
            </w:r>
          </w:p>
        </w:tc>
        <w:tc>
          <w:tcPr>
            <w:tcMar>
              <w:top w:w="60" w:type="dxa"/>
              <w:left w:w="110" w:type="dxa"/>
              <w:bottom w:w="60" w:type="dxa"/>
              <w:right w:w="110" w:type="dxa"/>
            </w:tcMar>
            <w:vAlign w:val="top"/>
          </w:tcPr>
          <w:p w14:paraId="00100728" w14:textId="00100729">
            <w:r>
              <w:rPr>
                <w:sz w:val="18"/>
              </w:rPr>
              <w:t xml:space="preserve">[Manager]</w:t>
            </w:r>
          </w:p>
        </w:tc>
        <w:tc>
          <w:tcPr>
            <w:tcMar>
              <w:top w:w="60" w:type="dxa"/>
              <w:left w:w="110" w:type="dxa"/>
              <w:bottom w:w="60" w:type="dxa"/>
              <w:right w:w="110" w:type="dxa"/>
            </w:tcMar>
            <w:vAlign w:val="top"/>
          </w:tcPr>
          <w:p w14:paraId="0010072A" w14:textId="0010072B">
            <w:r>
              <w:rPr>
                <w:sz w:val="18"/>
              </w:rPr>
              <w:t xml:space="preserve">[site]</w:t>
            </w:r>
          </w:p>
        </w:tc>
        <w:tc>
          <w:tcPr>
            <w:tcMar>
              <w:top w:w="60" w:type="dxa"/>
              <w:left w:w="110" w:type="dxa"/>
              <w:bottom w:w="60" w:type="dxa"/>
              <w:right w:w="110" w:type="dxa"/>
            </w:tcMar>
            <w:vAlign w:val="top"/>
          </w:tcPr>
          <w:p w14:paraId="0010072C" w14:textId="0010072D">
            <w:r>
              <w:rPr>
                <w:sz w:val="18"/>
              </w:rPr>
              <w:t xml:space="preserve">[date]</w:t>
            </w:r>
          </w:p>
        </w:tc>
        <w:tc>
          <w:tcPr>
            <w:tcMar>
              <w:top w:w="60" w:type="dxa"/>
              <w:left w:w="110" w:type="dxa"/>
              <w:bottom w:w="60" w:type="dxa"/>
              <w:right w:w="110" w:type="dxa"/>
            </w:tcMar>
            <w:vAlign w:val="top"/>
          </w:tcPr>
          <w:p w14:paraId="0010072E" w14:textId="0010072F">
            <w:r>
              <w:rPr>
                <w:sz w:val="18"/>
              </w:rPr>
              <w:t xml:space="preserve">—</w:t>
            </w:r>
          </w:p>
        </w:tc>
      </w:tr>
      <w:tr>
        <w:trPr/>
        <w:tc>
          <w:tcPr>
            <w:tcMar>
              <w:top w:w="60" w:type="dxa"/>
              <w:left w:w="110" w:type="dxa"/>
              <w:bottom w:w="60" w:type="dxa"/>
              <w:right w:w="110" w:type="dxa"/>
            </w:tcMar>
            <w:vAlign w:val="top"/>
          </w:tcPr>
          <w:p w14:paraId="00100730" w14:textId="00100731">
            <w:r>
              <w:rPr>
                <w:sz w:val="18"/>
              </w:rPr>
              <w:t xml:space="preserve">3</w:t>
            </w:r>
          </w:p>
        </w:tc>
        <w:tc>
          <w:tcPr>
            <w:tcMar>
              <w:top w:w="60" w:type="dxa"/>
              <w:left w:w="110" w:type="dxa"/>
              <w:bottom w:w="60" w:type="dxa"/>
              <w:right w:w="110" w:type="dxa"/>
            </w:tcMar>
            <w:vAlign w:val="top"/>
          </w:tcPr>
          <w:p w14:paraId="00100732" w14:textId="00100733">
            <w:r>
              <w:rPr>
                <w:sz w:val="18"/>
              </w:rPr>
              <w:t xml:space="preserve">[name]</w:t>
            </w:r>
          </w:p>
        </w:tc>
        <w:tc>
          <w:tcPr>
            <w:tcMar>
              <w:top w:w="60" w:type="dxa"/>
              <w:left w:w="110" w:type="dxa"/>
              <w:bottom w:w="60" w:type="dxa"/>
              <w:right w:w="110" w:type="dxa"/>
            </w:tcMar>
            <w:vAlign w:val="top"/>
          </w:tcPr>
          <w:p w14:paraId="00100734" w14:textId="00100735">
            <w:r>
              <w:rPr>
                <w:sz w:val="18"/>
              </w:rPr>
              <w:t xml:space="preserve">[name@company.com]</w:t>
            </w:r>
          </w:p>
        </w:tc>
        <w:tc>
          <w:tcPr>
            <w:tcMar>
              <w:top w:w="60" w:type="dxa"/>
              <w:left w:w="110" w:type="dxa"/>
              <w:bottom w:w="60" w:type="dxa"/>
              <w:right w:w="110" w:type="dxa"/>
            </w:tcMar>
            <w:vAlign w:val="top"/>
          </w:tcPr>
          <w:p w14:paraId="00100736" w14:textId="00100737">
            <w:r>
              <w:rPr>
                <w:sz w:val="18"/>
              </w:rPr>
              <w:t xml:space="preserve">[Supervisor]</w:t>
            </w:r>
          </w:p>
        </w:tc>
        <w:tc>
          <w:tcPr>
            <w:tcMar>
              <w:top w:w="60" w:type="dxa"/>
              <w:left w:w="110" w:type="dxa"/>
              <w:bottom w:w="60" w:type="dxa"/>
              <w:right w:w="110" w:type="dxa"/>
            </w:tcMar>
            <w:vAlign w:val="top"/>
          </w:tcPr>
          <w:p w14:paraId="00100738" w14:textId="00100739">
            <w:r>
              <w:rPr>
                <w:sz w:val="18"/>
              </w:rPr>
              <w:t xml:space="preserve">[site]</w:t>
            </w:r>
          </w:p>
        </w:tc>
        <w:tc>
          <w:tcPr>
            <w:tcMar>
              <w:top w:w="60" w:type="dxa"/>
              <w:left w:w="110" w:type="dxa"/>
              <w:bottom w:w="60" w:type="dxa"/>
              <w:right w:w="110" w:type="dxa"/>
            </w:tcMar>
            <w:vAlign w:val="top"/>
          </w:tcPr>
          <w:p w14:paraId="0010073A" w14:textId="0010073B">
            <w:r>
              <w:rPr>
                <w:sz w:val="18"/>
              </w:rPr>
              <w:t xml:space="preserve">[date]</w:t>
            </w:r>
          </w:p>
        </w:tc>
        <w:tc>
          <w:tcPr>
            <w:tcMar>
              <w:top w:w="60" w:type="dxa"/>
              <w:left w:w="110" w:type="dxa"/>
              <w:bottom w:w="60" w:type="dxa"/>
              <w:right w:w="110" w:type="dxa"/>
            </w:tcMar>
            <w:vAlign w:val="top"/>
          </w:tcPr>
          <w:p w14:paraId="0010073C" w14:textId="0010073D">
            <w:r>
              <w:rPr>
                <w:sz w:val="18"/>
              </w:rPr>
              <w:t xml:space="preserve">—</w:t>
            </w:r>
          </w:p>
        </w:tc>
      </w:tr>
      <w:tr>
        <w:trPr/>
        <w:tc>
          <w:tcPr>
            <w:tcMar>
              <w:top w:w="60" w:type="dxa"/>
              <w:left w:w="110" w:type="dxa"/>
              <w:bottom w:w="60" w:type="dxa"/>
              <w:right w:w="110" w:type="dxa"/>
            </w:tcMar>
            <w:vAlign w:val="top"/>
          </w:tcPr>
          <w:p w14:paraId="0010073E" w14:textId="0010073F">
            <w:r>
              <w:rPr>
                <w:sz w:val="18"/>
              </w:rPr>
              <w:t xml:space="preserve">4</w:t>
            </w:r>
          </w:p>
        </w:tc>
        <w:tc>
          <w:tcPr>
            <w:tcMar>
              <w:top w:w="60" w:type="dxa"/>
              <w:left w:w="110" w:type="dxa"/>
              <w:bottom w:w="60" w:type="dxa"/>
              <w:right w:w="110" w:type="dxa"/>
            </w:tcMar>
            <w:vAlign w:val="top"/>
          </w:tcPr>
          <w:p w14:paraId="00100740" w14:textId="00100741">
            <w:r>
              <w:rPr>
                <w:sz w:val="18"/>
              </w:rPr>
              <w:t xml:space="preserve">[name]</w:t>
            </w:r>
          </w:p>
        </w:tc>
        <w:tc>
          <w:tcPr>
            <w:tcMar>
              <w:top w:w="60" w:type="dxa"/>
              <w:left w:w="110" w:type="dxa"/>
              <w:bottom w:w="60" w:type="dxa"/>
              <w:right w:w="110" w:type="dxa"/>
            </w:tcMar>
            <w:vAlign w:val="top"/>
          </w:tcPr>
          <w:p w14:paraId="00100742" w14:textId="00100743">
            <w:r>
              <w:rPr>
                <w:sz w:val="18"/>
              </w:rPr>
              <w:t xml:space="preserve">[name@company.com]</w:t>
            </w:r>
          </w:p>
        </w:tc>
        <w:tc>
          <w:tcPr>
            <w:tcMar>
              <w:top w:w="60" w:type="dxa"/>
              <w:left w:w="110" w:type="dxa"/>
              <w:bottom w:w="60" w:type="dxa"/>
              <w:right w:w="110" w:type="dxa"/>
            </w:tcMar>
            <w:vAlign w:val="top"/>
          </w:tcPr>
          <w:p w14:paraId="00100744" w14:textId="00100745">
            <w:r>
              <w:rPr>
                <w:sz w:val="18"/>
              </w:rPr>
              <w:t xml:space="preserve">[Viewer]</w:t>
            </w:r>
          </w:p>
        </w:tc>
        <w:tc>
          <w:tcPr>
            <w:tcMar>
              <w:top w:w="60" w:type="dxa"/>
              <w:left w:w="110" w:type="dxa"/>
              <w:bottom w:w="60" w:type="dxa"/>
              <w:right w:w="110" w:type="dxa"/>
            </w:tcMar>
            <w:vAlign w:val="top"/>
          </w:tcPr>
          <w:p w14:paraId="00100746" w14:textId="00100747">
            <w:r>
              <w:rPr>
                <w:sz w:val="18"/>
              </w:rPr>
              <w:t xml:space="preserve">[site]</w:t>
            </w:r>
          </w:p>
        </w:tc>
        <w:tc>
          <w:tcPr>
            <w:tcMar>
              <w:top w:w="60" w:type="dxa"/>
              <w:left w:w="110" w:type="dxa"/>
              <w:bottom w:w="60" w:type="dxa"/>
              <w:right w:w="110" w:type="dxa"/>
            </w:tcMar>
            <w:vAlign w:val="top"/>
          </w:tcPr>
          <w:p w14:paraId="00100748" w14:textId="00100749">
            <w:r>
              <w:rPr>
                <w:sz w:val="18"/>
              </w:rPr>
              <w:t xml:space="preserve">[date]</w:t>
            </w:r>
          </w:p>
        </w:tc>
        <w:tc>
          <w:tcPr>
            <w:tcMar>
              <w:top w:w="60" w:type="dxa"/>
              <w:left w:w="110" w:type="dxa"/>
              <w:bottom w:w="60" w:type="dxa"/>
              <w:right w:w="110" w:type="dxa"/>
            </w:tcMar>
            <w:vAlign w:val="top"/>
          </w:tcPr>
          <w:p w14:paraId="0010074A" w14:textId="0010074B">
            <w:r>
              <w:rPr>
                <w:sz w:val="18"/>
              </w:rPr>
              <w:t xml:space="preserve">—</w:t>
            </w:r>
          </w:p>
        </w:tc>
      </w:tr>
    </w:tbl>
    <w:p w14:paraId="0010074C" w14:textId="0010074D">
      <w:pPr>
        <w:keepNext/>
        <w:spacing w:before="480" w:after="160"/>
        <w:jc w:val="left"/>
      </w:pPr>
      <w:r>
        <w:rPr>
          <w:rFonts w:ascii="Calibri" w:hAnsi="Calibri" w:eastAsia="Calibri"/>
          <w:b/>
          <w:color w:val="005A4B"/>
          <w:sz w:val="27"/>
        </w:rPr>
        <w:t xml:space="preserve">Recovery objectives agreed for this evaluation</w:t>
      </w:r>
    </w:p>
    <w:tbl>
      <w:tblPr>
        <w:tblW w:w="5000" w:type="pct"/>
        <w:tblBorders>
          <w:top w:val="single" w:color="DCDCDC" w:sz="4"/>
          <w:left w:val="single" w:color="DCDCDC" w:sz="4"/>
          <w:bottom w:val="single" w:color="DCDCDC" w:sz="4"/>
          <w:right w:val="single" w:color="DCDCDC" w:sz="4"/>
          <w:insideH w:val="single" w:color="DCDCDC" w:sz="4"/>
          <w:insideV w:val="none" w:sz="4"/>
        </w:tblBorders>
      </w:tblPr>
      <w:tblGrid>
        <w:gridCol w:w="3000"/>
        <w:gridCol w:w="6072"/>
      </w:tblGrid>
      <w:tr>
        <w:trPr/>
        <w:tc>
          <w:tcPr>
            <w:shd w:val="clear" w:fill="F0F0F0"/>
            <w:tcMar>
              <w:top w:w="60" w:type="dxa"/>
              <w:left w:w="110" w:type="dxa"/>
              <w:bottom w:w="60" w:type="dxa"/>
              <w:right w:w="110" w:type="dxa"/>
            </w:tcMar>
            <w:vAlign w:val="top"/>
          </w:tcPr>
          <w:p w14:paraId="0010074E" w14:textId="0010074F">
            <w:r>
              <w:rPr>
                <w:b/>
                <w:color w:val="34322D"/>
                <w:sz w:val="18"/>
              </w:rPr>
              <w:t xml:space="preserve">Objective</w:t>
            </w:r>
          </w:p>
        </w:tc>
        <w:tc>
          <w:tcPr>
            <w:shd w:val="clear" w:fill="F0F0F0"/>
            <w:tcMar>
              <w:top w:w="60" w:type="dxa"/>
              <w:left w:w="110" w:type="dxa"/>
              <w:bottom w:w="60" w:type="dxa"/>
              <w:right w:w="110" w:type="dxa"/>
            </w:tcMar>
            <w:vAlign w:val="top"/>
          </w:tcPr>
          <w:p w14:paraId="00100750" w14:textId="00100751">
            <w:r>
              <w:rPr>
                <w:b/>
                <w:color w:val="34322D"/>
                <w:sz w:val="18"/>
              </w:rPr>
              <w:t xml:space="preserve">Agreed value</w:t>
            </w:r>
          </w:p>
        </w:tc>
      </w:tr>
      <w:tr>
        <w:trPr/>
        <w:tc>
          <w:tcPr>
            <w:shd w:val="clear" w:fill="F7F7F7"/>
            <w:tcMar>
              <w:top w:w="60" w:type="dxa"/>
              <w:left w:w="110" w:type="dxa"/>
              <w:bottom w:w="60" w:type="dxa"/>
              <w:right w:w="110" w:type="dxa"/>
            </w:tcMar>
            <w:vAlign w:val="top"/>
          </w:tcPr>
          <w:p w14:paraId="00100752" w14:textId="00100753">
            <w:r>
              <w:rPr>
                <w:b w:val="false"/>
                <w:sz w:val="19"/>
              </w:rPr>
              <w:t xml:space="preserve">Recovery point objective (RPO)</w:t>
            </w:r>
          </w:p>
        </w:tc>
        <w:tc>
          <w:tcPr>
            <w:tcMar>
              <w:top w:w="60" w:type="dxa"/>
              <w:left w:w="110" w:type="dxa"/>
              <w:bottom w:w="60" w:type="dxa"/>
              <w:right w:w="110" w:type="dxa"/>
            </w:tcMar>
            <w:vAlign w:val="top"/>
          </w:tcPr>
          <w:p w14:paraId="00100754" w14:textId="00100755">
            <w:r>
              <w:rPr>
                <w:sz w:val="19"/>
              </w:rPr>
              <w:t xml:space="preserve">[e.g. 1 hour]</w:t>
            </w:r>
          </w:p>
        </w:tc>
      </w:tr>
      <w:tr>
        <w:trPr/>
        <w:tc>
          <w:tcPr>
            <w:shd w:val="clear" w:fill="F7F7F7"/>
            <w:tcMar>
              <w:top w:w="60" w:type="dxa"/>
              <w:left w:w="110" w:type="dxa"/>
              <w:bottom w:w="60" w:type="dxa"/>
              <w:right w:w="110" w:type="dxa"/>
            </w:tcMar>
            <w:vAlign w:val="top"/>
          </w:tcPr>
          <w:p w14:paraId="00100756" w14:textId="00100757">
            <w:r>
              <w:rPr>
                <w:b w:val="false"/>
                <w:sz w:val="19"/>
              </w:rPr>
              <w:t xml:space="preserve">Recovery time objective (RTO)</w:t>
            </w:r>
          </w:p>
        </w:tc>
        <w:tc>
          <w:tcPr>
            <w:tcMar>
              <w:top w:w="60" w:type="dxa"/>
              <w:left w:w="110" w:type="dxa"/>
              <w:bottom w:w="60" w:type="dxa"/>
              <w:right w:w="110" w:type="dxa"/>
            </w:tcMar>
            <w:vAlign w:val="top"/>
          </w:tcPr>
          <w:p w14:paraId="00100758" w14:textId="00100759">
            <w:r>
              <w:rPr>
                <w:sz w:val="19"/>
              </w:rPr>
              <w:t xml:space="preserve">[e.g. 8 hours]</w:t>
            </w:r>
          </w:p>
        </w:tc>
      </w:tr>
      <w:tr>
        <w:trPr/>
        <w:tc>
          <w:tcPr>
            <w:shd w:val="clear" w:fill="F7F7F7"/>
            <w:tcMar>
              <w:top w:w="60" w:type="dxa"/>
              <w:left w:w="110" w:type="dxa"/>
              <w:bottom w:w="60" w:type="dxa"/>
              <w:right w:w="110" w:type="dxa"/>
            </w:tcMar>
            <w:vAlign w:val="top"/>
          </w:tcPr>
          <w:p w14:paraId="0010075A" w14:textId="0010075B">
            <w:r>
              <w:rPr>
                <w:b w:val="false"/>
                <w:sz w:val="19"/>
              </w:rPr>
              <w:t xml:space="preserve">Restore test frequency</w:t>
            </w:r>
          </w:p>
        </w:tc>
        <w:tc>
          <w:tcPr>
            <w:tcMar>
              <w:top w:w="60" w:type="dxa"/>
              <w:left w:w="110" w:type="dxa"/>
              <w:bottom w:w="60" w:type="dxa"/>
              <w:right w:w="110" w:type="dxa"/>
            </w:tcMar>
            <w:vAlign w:val="top"/>
          </w:tcPr>
          <w:p w14:paraId="0010075C" w14:textId="0010075D">
            <w:r>
              <w:rPr>
                <w:sz w:val="19"/>
              </w:rPr>
              <w:t xml:space="preserve">[e.g. annually, on request under clause 9.3]</w:t>
            </w:r>
          </w:p>
        </w:tc>
      </w:tr>
    </w:tbl>
    <w:p w14:paraId="0010075E" w14:textId="0010075F">
      <w:pPr>
        <w:pBdr>
          <w:bottom w:val="single" w:color="DCDCDC" w:sz="6"/>
        </w:pBdr>
        <w:spacing w:before="360" w:after="120"/>
      </w:pPr>
      <w:r>
        <w:rPr>
          <w:sz w:val="4"/>
        </w:rPr>
        <w:t xml:space="preserve"> </w:t>
      </w:r>
    </w:p>
    <w:p w14:paraId="00100760" w14:textId="00100761">
      <w:pPr>
        <w:spacing w:after="0"/>
        <w:jc w:val="center"/>
      </w:pPr>
      <w:r>
        <w:rPr>
          <w:rFonts w:ascii="Calibri" w:hAnsi="Calibri" w:eastAsia="Calibri"/>
          <w:b/>
          <w:color w:val="005A4B"/>
          <w:sz w:val="18"/>
        </w:rPr>
        <w:t xml:space="preserve">End of Agreement</w:t>
      </w:r>
    </w:p>
    <w:sectPr>
      <w:headerReference w:type="first" r:id="Re14ab65eb9854e4b"/>
      <w:headerReference w:type="default" r:id="R36f7b5aafeab4315"/>
      <w:footerReference w:type="first" r:id="Re1f066714341470b"/>
      <w:footerReference w:type="default" r:id="Rb10d29c67be440be"/>
      <w:pgSz w:w="11906" w:h="16838"/>
      <w:pgMar w:top="1417" w:right="1417" w:bottom="1417" w:left="1417"/>
      <w:titlePg/>
      <w:docGrid w:type="default"/>
    </w:sectPr>
  </w:body>
</w:document>
</file>

<file path=word/footer1.xml><?xml version="1.0" encoding="utf-8"?>
<w:ftr xmlns:mc="http://schemas.openxmlformats.org/markup-compatibility/2006" xmlns:w14="http://schemas.microsoft.com/office/word/2010/wordml" xmlns:w="http://schemas.openxmlformats.org/wordprocessingml/2006/main" mc:Ignorable="w14">
  <w:p w14:paraId="00100766" w14:textId="0010076B">
    <w:pPr>
      <w:pBdr>
        <w:top w:val="single" w:color="C3A04B" w:sz="4"/>
      </w:pBdr>
      <w:jc w:val="center"/>
    </w:pPr>
    <w:r>
      <w:rPr>
        <w:color w:val="6B6B66"/>
        <w:sz w:val="16"/>
      </w:rPr>
      <w:t xml:space="preserve">Site Safety LLC · Enterprise Software Evaluation Agreement · Page </w:t>
    </w:r>
    <w:r>
      <w:rPr>
        <w:color w:val="6B6B66"/>
        <w:sz w:val="16"/>
      </w:rPr>
      <w:fldChar w:fldCharType="begin"/>
    </w:r>
    <w:r>
      <w:rPr>
        <w:color w:val="6B6B66"/>
        <w:sz w:val="16"/>
      </w:rPr>
      <w:instrText xml:space="preserve"> PAGE </w:instrText>
    </w:r>
    <w:r>
      <w:rPr>
        <w:color w:val="6B6B66"/>
        <w:sz w:val="16"/>
      </w:rPr>
      <w:fldChar w:fldCharType="separate"/>
    </w:r>
    <w:r>
      <w:rPr>
        <w:color w:val="6B6B66"/>
        <w:sz w:val="16"/>
      </w:rPr>
      <w:t xml:space="preserve">1</w:t>
    </w:r>
    <w:r>
      <w:rPr>
        <w:color w:val="6B6B66"/>
        <w:sz w:val="16"/>
      </w:rPr>
      <w:fldChar w:fldCharType="end"/>
    </w:r>
    <w:r>
      <w:rPr>
        <w:color w:val="6B6B66"/>
        <w:sz w:val="16"/>
      </w:rPr>
      <w:t xml:space="preserve"> of </w:t>
    </w:r>
    <w:r>
      <w:rPr>
        <w:color w:val="6B6B66"/>
        <w:sz w:val="16"/>
      </w:rPr>
      <w:fldChar w:fldCharType="begin"/>
    </w:r>
    <w:r>
      <w:rPr>
        <w:color w:val="6B6B66"/>
        <w:sz w:val="16"/>
      </w:rPr>
      <w:instrText xml:space="preserve"> NUMPAGES </w:instrText>
    </w:r>
    <w:r>
      <w:rPr>
        <w:color w:val="6B6B66"/>
        <w:sz w:val="16"/>
      </w:rPr>
      <w:fldChar w:fldCharType="separate"/>
    </w:r>
    <w:r>
      <w:rPr>
        <w:color w:val="6B6B66"/>
        <w:sz w:val="16"/>
      </w:rPr>
      <w:t xml:space="preserve">1</w:t>
    </w:r>
    <w:r>
      <w:rPr>
        <w:color w:val="6B6B66"/>
        <w:sz w:val="16"/>
      </w:rPr>
      <w:fldChar w:fldCharType="end"/>
    </w:r>
  </w:p>
</w:ftr>
</file>

<file path=word/footer2.xml><?xml version="1.0" encoding="utf-8"?>
<w:ftr xmlns:mc="http://schemas.openxmlformats.org/markup-compatibility/2006" xmlns:w14="http://schemas.microsoft.com/office/word/2010/wordml" xmlns:w="http://schemas.openxmlformats.org/wordprocessingml/2006/main" mc:Ignorable="w14">
  <w:p w14:paraId="0010076C" w14:textId="0010076D">
    <w:pPr/>
    <w:r>
      <w:rPr>
        <w:sz w:val="4"/>
      </w:rPr>
      <w:t xml:space="preserve"> </w:t>
    </w:r>
  </w:p>
</w:ftr>
</file>

<file path=word/header1.xml><?xml version="1.0" encoding="utf-8"?>
<w:hdr xmlns:mc="http://schemas.openxmlformats.org/markup-compatibility/2006" xmlns:w14="http://schemas.microsoft.com/office/word/2010/wordml" xmlns:w="http://schemas.openxmlformats.org/wordprocessingml/2006/main" mc:Ignorable="w14">
  <w:p w14:paraId="00100762" w14:textId="00100763">
    <w:pPr/>
    <w:r>
      <w:rPr>
        <w:sz w:val="4"/>
      </w:rPr>
      <w:t xml:space="preserve"> </w:t>
    </w:r>
  </w:p>
</w:hdr>
</file>

<file path=word/header2.xml><?xml version="1.0" encoding="utf-8"?>
<w:hdr xmlns:mc="http://schemas.openxmlformats.org/markup-compatibility/2006" xmlns:w14="http://schemas.microsoft.com/office/word/2010/wordml" xmlns:w="http://schemas.openxmlformats.org/wordprocessingml/2006/main" mc:Ignorable="w14">
  <w:p w14:paraId="00100764" w14:textId="00100765">
    <w:pPr/>
    <w:r>
      <w:rPr>
        <w:sz w:val="4"/>
      </w:rPr>
      <w:t xml:space="preserve"> </w:t>
    </w:r>
  </w:p>
</w:hdr>
</file>

<file path=word/numbering.xml><?xml version="1.0" encoding="utf-8"?>
<w:numbering xmlns:w="http://schemas.openxmlformats.org/wordprocessingml/2006/main"/>
</file>

<file path=word/settings.xml><?xml version="1.0" encoding="utf-8"?>
<w:settings xmlns:w="http://schemas.openxmlformats.org/wordprocessingml/2006/main">
  <w:characterSpacingControl w:val="doNotCompress"/>
  <w:updateFields/>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settings>
</file>

<file path=word/styles.xml><?xml version="1.0" encoding="utf-8"?>
<w:styles xmlns:w14="http://schemas.microsoft.com/office/word/2010/wordml" xmlns:mc="http://schemas.openxmlformats.org/markup-compatibility/2006" xmlns:w="http://schemas.openxmlformats.org/wordprocessingml/2006/main" mc:Ignorable="w14">
  <w:docDefaults>
    <w:rPrDefault>
      <w:rPr>
        <w:rFonts w:ascii="Calibri" w:hAnsi="Calibri"/>
        <w:sz w:val="22"/>
        <w:szCs w:val="22"/>
      </w:rPr>
    </w:rPrDefault>
    <w:pPrDefault/>
  </w:docDefaults>
  <w:style w:type="paragraph" w:styleId="Normal" w:default="true">
    <w:name w:val="Normal"/>
    <w:qFormat/>
    <w:pPr>
      <w:spacing w:after="0" w:line="259" w:lineRule="auto"/>
    </w:pPr>
  </w:style>
  <w:style w:type="paragraph" w:styleId="Heading1">
    <w:name w:val="heading 1"/>
    <w:basedOn w:val="Normal"/>
    <w:next w:val="Normal"/>
    <w:uiPriority w:val="9"/>
    <w:qFormat/>
    <w:pPr>
      <w:keepNext/>
      <w:keepLines/>
      <w:spacing w:before="240" w:after="0"/>
      <w:outlineLvl w:val="0"/>
    </w:pPr>
    <w:rPr>
      <w:rFonts w:asciiTheme="majorHAnsi" w:hAnsiTheme="majorHAnsi" w:eastAsiaTheme="majorEastAsia" w:cstheme="majorBidi"/>
      <w:color w:val="2F5496"/>
      <w:sz w:val="32"/>
      <w:szCs w:val="32"/>
    </w:rPr>
  </w:style>
</w:styles>
</file>

<file path=word/_rels/document.xml.rels><?xml version='1.0' encoding='UTF-8' standalone='yes'?>
<Relationships xmlns="http://schemas.openxmlformats.org/package/2006/relationships"><Relationship Id="R9a3f7ea7bc9c49d0" Type="http://schemas.openxmlformats.org/officeDocument/2006/relationships/settings" Target="settings.xml"/><Relationship Id="R985bb22b5d4a4b4d" Type="http://schemas.openxmlformats.org/officeDocument/2006/relationships/styles" Target="styles.xml"/><Relationship Id="R0720c0b427e44d87" Type="http://schemas.openxmlformats.org/officeDocument/2006/relationships/theme" Target="theme/theme1.xml"/><Relationship Id="R84f63e2749034020" Type="http://schemas.openxmlformats.org/officeDocument/2006/relationships/numbering" Target="numbering.xml"/><Relationship Id="R5025badbb61d4f26" Type="http://schemas.openxmlformats.org/officeDocument/2006/relationships/image" Target="../media/image.png"/><Relationship Id="R36f7b5aafeab4315" Type="http://schemas.openxmlformats.org/officeDocument/2006/relationships/header" Target="header1.xml"/><Relationship Id="Re14ab65eb9854e4b" Type="http://schemas.openxmlformats.org/officeDocument/2006/relationships/header" Target="header2.xml"/><Relationship Id="Rb10d29c67be440be" Type="http://schemas.openxmlformats.org/officeDocument/2006/relationships/footer" Target="footer1.xml"/><Relationship Id="Re1f066714341470b"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solidFill>
          <a:schemeClr val="phClr"/>
        </a:solidFill>
        <a:solidFill>
          <a:schemeClr val="phClr"/>
        </a:solidFill>
      </a:fillStyleLst>
      <a:lnStyleLst>
        <a:ln w="6350" cap="flat">
          <a:solidFill>
            <a:schemeClr val="phClr"/>
          </a:solidFill>
        </a:ln>
        <a:ln w="12700" cap="flat">
          <a:solidFill>
            <a:schemeClr val="phClr"/>
          </a:solidFill>
        </a:ln>
        <a:ln w="19050" cap="flat">
          <a:solidFill>
            <a:schemeClr val="phClr"/>
          </a:solidFill>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ap:Properties xmlns:ap="http://schemas.openxmlformats.org/officeDocument/2006/extended-properties">
  <ap:Application>OfficeCLI/1.0.153</ap:Application>
</ap:Properties>
</file>

<file path=docProps/core.xml><?xml version="1.0" encoding="utf-8"?>
<cp:coreProperties xmlns:cp="http://schemas.openxmlformats.org/package/2006/metadata/core-properties" xmlns:dc="http://purl.org/dc/elements/1.1/" xmlns:dcterms="http://purl.org/dc/terms/" xmlns:xsi="http://www.w3.org/2001/XMLSchema-instance">
  <dc:creator>OfficeCLI</dc:creator>
  <dcterms:created xsi:type="dcterms:W3CDTF">2026-10-02T03:31:56Z</dcterms:created>
  <cp:lastModifiedBy>OfficeCLI</cp:lastModifiedBy>
  <dcterms:modified xsi:type="dcterms:W3CDTF">2026-10-02T03:31:56Z</dcterms:modified>
</cp:coreProperties>
</file>

<file path=docProps/custom.xml><?xml version="1.0" encoding="utf-8"?>
<op:Properties xmlns:op="http://schemas.openxmlformats.org/officeDocument/2006/custom-properties">
  <op:property fmtid="{D5CDD505-2E9C-101B-9397-08002B2CF9AE}" pid="2" name="OfficeCLI.Version">
    <vt:lpwstr xmlns:vt="http://schemas.openxmlformats.org/officeDocument/2006/docPropsVTypes">1.0.153</vt:lpwstr>
  </op:property>
  <op:property fmtid="{D5CDD505-2E9C-101B-9397-08002B2CF9AE}" pid="3" name="OfficeCLI.LastModified">
    <vt:lpwstr xmlns:vt="http://schemas.openxmlformats.org/officeDocument/2006/docPropsVTypes">2026-10-02T03:32:06Z</vt:lpwstr>
  </op:property>
</op:Properties>
</file>