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Preparing UAE Construction Sites for Winter Rain</w:t>
      </w:r>
    </w:p>
    <w:p>
      <w:r>
        <w:rPr>
          <w:i/>
          <w:color w:val="44546A"/>
          <w:sz w:val="21"/>
        </w:rPr>
        <w:t>A practical readiness guide, an emirate-by-emirate authority cross-reference, and the structure of the companion 100-point checklist. Prepared for UAE construction HSE, temporary works and site management teams.</w:t>
      </w:r>
    </w:p>
    <w:p>
      <w:r>
        <w:t>Why the rainy season, and the unseasonal storms that now accompany it, belong in every UAE construction programme - and how to translate federal, emirate and technical requirements into site-level controls.</w:t>
      </w:r>
    </w:p>
    <w:p>
      <w:r>
        <w:rPr>
          <w:b/>
          <w:color w:val="0F2C4C"/>
          <w:sz w:val="19"/>
        </w:rPr>
        <w:t>Document information</w:t>
      </w:r>
    </w:p>
    <w:tbl>
      <w:tblPr>
        <w:tblStyle w:val="TableGrid"/>
        <w:tblW w:type="auto" w:w="0"/>
        <w:jc w:val="center"/>
        <w:tblLook w:firstColumn="1" w:firstRow="1" w:lastColumn="0" w:lastRow="0" w:noHBand="0" w:noVBand="1" w:val="04A0"/>
        <w:tblLayout w:type="fixed"/>
      </w:tblPr>
      <w:tblGrid>
        <w:gridCol w:w="2552"/>
        <w:gridCol w:w="6804"/>
      </w:tblGrid>
      <w:tr>
        <w:trPr>
          <w:cantSplit/>
        </w:trPr>
        <w:tc>
          <w:tcPr>
            <w:tcW w:type="dxa" w:w="2551"/>
            <w:shd w:val="clear" w:color="auto" w:fill="126E6E"/>
          </w:tcPr>
          <w:p>
            <w:r/>
            <w:r>
              <w:rPr>
                <w:b/>
                <w:color w:val="FFFFFF"/>
                <w:sz w:val="17"/>
              </w:rPr>
              <w:t>Field</w:t>
            </w:r>
          </w:p>
        </w:tc>
        <w:tc>
          <w:tcPr>
            <w:tcW w:type="dxa" w:w="6803"/>
            <w:shd w:val="clear" w:color="auto" w:fill="126E6E"/>
          </w:tcPr>
          <w:p>
            <w:r/>
            <w:r>
              <w:rPr>
                <w:b/>
                <w:color w:val="FFFFFF"/>
                <w:sz w:val="17"/>
              </w:rPr>
              <w:t>Detail</w:t>
            </w:r>
          </w:p>
        </w:tc>
      </w:tr>
      <w:tr>
        <w:trPr>
          <w:cantSplit/>
        </w:trPr>
        <w:tc>
          <w:tcPr>
            <w:tcW w:type="dxa" w:w="2551"/>
          </w:tcPr>
          <w:p>
            <w:r/>
            <w:r>
              <w:rPr>
                <w:sz w:val="17"/>
              </w:rPr>
              <w:t>Title</w:t>
            </w:r>
          </w:p>
        </w:tc>
        <w:tc>
          <w:tcPr>
            <w:tcW w:type="dxa" w:w="6803"/>
          </w:tcPr>
          <w:p>
            <w:r/>
            <w:r>
              <w:rPr>
                <w:sz w:val="17"/>
              </w:rPr>
              <w:t>Preparing UAE Construction Sites for Winter Rain: A Practical Readiness Guide and 100-Point Checklist</w:t>
            </w:r>
          </w:p>
        </w:tc>
      </w:tr>
      <w:tr>
        <w:trPr>
          <w:cantSplit/>
        </w:trPr>
        <w:tc>
          <w:tcPr>
            <w:tcW w:type="dxa" w:w="2551"/>
            <w:shd w:val="clear" w:color="auto" w:fill="F2F6FA"/>
          </w:tcPr>
          <w:p>
            <w:r/>
            <w:r>
              <w:rPr>
                <w:sz w:val="17"/>
              </w:rPr>
              <w:t>Document type</w:t>
            </w:r>
          </w:p>
        </w:tc>
        <w:tc>
          <w:tcPr>
            <w:tcW w:type="dxa" w:w="6803"/>
            <w:shd w:val="clear" w:color="auto" w:fill="F2F6FA"/>
          </w:tcPr>
          <w:p>
            <w:r/>
            <w:r>
              <w:rPr>
                <w:sz w:val="17"/>
              </w:rPr>
              <w:t>Technical article and commentary</w:t>
            </w:r>
          </w:p>
        </w:tc>
      </w:tr>
      <w:tr>
        <w:trPr>
          <w:cantSplit/>
        </w:trPr>
        <w:tc>
          <w:tcPr>
            <w:tcW w:type="dxa" w:w="2551"/>
          </w:tcPr>
          <w:p>
            <w:r/>
            <w:r>
              <w:rPr>
                <w:sz w:val="17"/>
              </w:rPr>
              <w:t>Prepared for</w:t>
            </w:r>
          </w:p>
        </w:tc>
        <w:tc>
          <w:tcPr>
            <w:tcW w:type="dxa" w:w="6803"/>
          </w:tcPr>
          <w:p>
            <w:r/>
            <w:r>
              <w:rPr>
                <w:sz w:val="17"/>
              </w:rPr>
              <w:t>Contractors, HSE managers, temporary works coordinators, site engineers, environmental officers and client teams operating in the UAE</w:t>
            </w:r>
          </w:p>
        </w:tc>
      </w:tr>
      <w:tr>
        <w:trPr>
          <w:cantSplit/>
        </w:trPr>
        <w:tc>
          <w:tcPr>
            <w:tcW w:type="dxa" w:w="2551"/>
            <w:shd w:val="clear" w:color="auto" w:fill="F2F6FA"/>
          </w:tcPr>
          <w:p>
            <w:r/>
            <w:r>
              <w:rPr>
                <w:sz w:val="17"/>
              </w:rPr>
              <w:t>Scope</w:t>
            </w:r>
          </w:p>
        </w:tc>
        <w:tc>
          <w:tcPr>
            <w:tcW w:type="dxa" w:w="6803"/>
            <w:shd w:val="clear" w:color="auto" w:fill="F2F6FA"/>
          </w:tcPr>
          <w:p>
            <w:r/>
            <w:r>
              <w:rPr>
                <w:sz w:val="17"/>
              </w:rPr>
              <w:t>All seven emirates, including free zones and special jurisdictions</w:t>
            </w:r>
          </w:p>
        </w:tc>
      </w:tr>
      <w:tr>
        <w:trPr>
          <w:cantSplit/>
        </w:trPr>
        <w:tc>
          <w:tcPr>
            <w:tcW w:type="dxa" w:w="2551"/>
          </w:tcPr>
          <w:p>
            <w:r/>
            <w:r>
              <w:rPr>
                <w:sz w:val="17"/>
              </w:rPr>
              <w:t>Companion document</w:t>
            </w:r>
          </w:p>
        </w:tc>
        <w:tc>
          <w:tcPr>
            <w:tcW w:type="dxa" w:w="6803"/>
          </w:tcPr>
          <w:p>
            <w:r/>
            <w:r>
              <w:rPr>
                <w:sz w:val="17"/>
              </w:rPr>
              <w:t>UAE Construction Winter / Rain Readiness Checklist (100 points) - Excel workbook with dashboard, checklist, authority cross-reference and source library</w:t>
            </w:r>
          </w:p>
        </w:tc>
      </w:tr>
      <w:tr>
        <w:trPr>
          <w:cantSplit/>
        </w:trPr>
        <w:tc>
          <w:tcPr>
            <w:tcW w:type="dxa" w:w="2551"/>
            <w:shd w:val="clear" w:color="auto" w:fill="F2F6FA"/>
          </w:tcPr>
          <w:p>
            <w:r/>
            <w:r>
              <w:rPr>
                <w:sz w:val="17"/>
              </w:rPr>
              <w:t>Prepared by</w:t>
            </w:r>
          </w:p>
        </w:tc>
        <w:tc>
          <w:tcPr>
            <w:tcW w:type="dxa" w:w="6803"/>
            <w:shd w:val="clear" w:color="auto" w:fill="F2F6FA"/>
          </w:tcPr>
          <w:p>
            <w:r/>
            <w:r>
              <w:rPr>
                <w:sz w:val="17"/>
              </w:rPr>
              <w:t>[Author name and role]</w:t>
            </w:r>
          </w:p>
        </w:tc>
      </w:tr>
      <w:tr>
        <w:trPr>
          <w:cantSplit/>
        </w:trPr>
        <w:tc>
          <w:tcPr>
            <w:tcW w:type="dxa" w:w="2551"/>
          </w:tcPr>
          <w:p>
            <w:r/>
            <w:r>
              <w:rPr>
                <w:sz w:val="17"/>
              </w:rPr>
              <w:t>Date</w:t>
            </w:r>
          </w:p>
        </w:tc>
        <w:tc>
          <w:tcPr>
            <w:tcW w:type="dxa" w:w="6803"/>
          </w:tcPr>
          <w:p>
            <w:r/>
            <w:r>
              <w:rPr>
                <w:sz w:val="17"/>
              </w:rPr>
              <w:t>[Date]</w:t>
            </w:r>
          </w:p>
        </w:tc>
      </w:tr>
      <w:tr>
        <w:trPr>
          <w:cantSplit/>
        </w:trPr>
        <w:tc>
          <w:tcPr>
            <w:tcW w:type="dxa" w:w="2551"/>
            <w:shd w:val="clear" w:color="auto" w:fill="F2F6FA"/>
          </w:tcPr>
          <w:p>
            <w:r/>
            <w:r>
              <w:rPr>
                <w:sz w:val="17"/>
              </w:rPr>
              <w:t>Revision</w:t>
            </w:r>
          </w:p>
        </w:tc>
        <w:tc>
          <w:tcPr>
            <w:tcW w:type="dxa" w:w="6803"/>
            <w:shd w:val="clear" w:color="auto" w:fill="F2F6FA"/>
          </w:tcPr>
          <w:p>
            <w:r/>
            <w:r>
              <w:rPr>
                <w:sz w:val="17"/>
              </w:rPr>
              <w:t>Rev 0</w:t>
            </w:r>
          </w:p>
        </w:tc>
      </w:tr>
      <w:tr>
        <w:trPr>
          <w:cantSplit/>
        </w:trPr>
        <w:tc>
          <w:tcPr>
            <w:tcW w:type="dxa" w:w="2551"/>
          </w:tcPr>
          <w:p>
            <w:r/>
            <w:r>
              <w:rPr>
                <w:sz w:val="17"/>
              </w:rPr>
              <w:t>Review</w:t>
            </w:r>
          </w:p>
        </w:tc>
        <w:tc>
          <w:tcPr>
            <w:tcW w:type="dxa" w:w="6803"/>
          </w:tcPr>
          <w:p>
            <w:r/>
            <w:r>
              <w:rPr>
                <w:sz w:val="17"/>
              </w:rPr>
              <w:t>Annually before the wet season and after every significant rain or flood event</w:t>
            </w:r>
          </w:p>
        </w:tc>
      </w:tr>
    </w:tbl>
    <w:p/>
    <w:tbl>
      <w:tblPr>
        <w:tblStyle w:val="TableGrid"/>
        <w:tblW w:type="auto" w:w="0"/>
        <w:tblLook w:firstColumn="1" w:firstRow="1" w:lastColumn="0" w:lastRow="0" w:noHBand="0" w:noVBand="1" w:val="04A0"/>
      </w:tblPr>
      <w:tblGrid>
        <w:gridCol w:w="9752"/>
      </w:tblGrid>
      <w:tr>
        <w:tc>
          <w:tcPr>
            <w:tcW w:type="dxa" w:w="9752"/>
            <w:shd w:val="clear" w:color="auto" w:fill="FFF4E0"/>
          </w:tcPr>
          <w:p>
            <w:r/>
            <w:r>
              <w:rPr>
                <w:b/>
                <w:color w:val="9C5700"/>
                <w:sz w:val="18"/>
              </w:rPr>
              <w:t>DISCLAIMER - USE AS A GUIDE ONLY. This checklist is a general starting point for preparing a UAE construction site for rain and the winter season. Every site is different: some items will not apply to your project, and your site may require additional items that are not listed here. Use it to help you get started and prepared, then adapt it to your own scope, location, permits, approved designs and risk assessment, and have it reviewed by a competent person. It does not replace UAE federal, emirate, free-zone or utility requirements, permit conditions, approved designs, Civil Defence directions, manufacturer instructions or professional advice. Always confirm current requirements with the relevant authority before relying on any item.</w:t>
            </w:r>
          </w:p>
        </w:tc>
      </w:tr>
    </w:tbl>
    <w:p/>
    <w:p>
      <w:pPr>
        <w:pStyle w:val="Heading2"/>
      </w:pPr>
      <w:r>
        <w:t>Executive summary</w:t>
      </w:r>
    </w:p>
    <w:p>
      <w:r>
        <w:t>The UAE is an arid country, but it is not a dry one between November and March, and increasingly not outside those months either. The event of 16-17 April 2024 delivered the heaviest rainfall recorded in the country since records began in 1949 - 254 mm in under 24 hours at Khatm Al Shakla - and overwhelmed roads, airports, utilities, unfinished buildings and construction sites across the emirates. The national response involved 97 entities, more than 32,000 personnel and about 5,000 vehicles and machines; the Cabinet approved AED 2 billion in relief for citizens' homes and established a flood and infrastructure damage committee.</w:t>
      </w:r>
    </w:p>
    <w:p>
      <w:r>
        <w:t>That event exposed a structural gap in how many sites plan. Rain readiness is often treated as a facilities matter - clear the drains and buy a pump. In practice, a single storm interacts with almost every part of a construction site at once: temporary drainage and dewatering, open excavations and unsupported slopes, temporary electrical installations, lifting and scaffolding, stored materials and chemicals, worker accommodation and welfare, potable water and sewage, protected habitats and receiving waters, emergency access, and finally the recovery and reinstatement decisions that follow.</w:t>
      </w:r>
    </w:p>
    <w:p>
      <w:r>
        <w:t>This article sets out what to watch for, who to consult in each emirate, what the verified thresholds actually are, and where the genuine contamination and environmental risks lie. It accompanies a 100-point readiness checklist that a site can adopt, adapt and audit against.</w:t>
      </w:r>
    </w:p>
    <w:p>
      <w:pPr>
        <w:pStyle w:val="Heading2"/>
      </w:pPr>
      <w:r>
        <w:t>1. Why winter rain is a construction risk, not just a weather inconvenience</w:t>
      </w:r>
    </w:p>
    <w:p>
      <w:r>
        <w:t>Three characteristics of UAE rainfall make it disproportionately dangerous on active sites. First, it is intense and short. The April 2024 event concentrated an annual-scale volume into hours, which is precisely the condition that defeats temporary drainage and overwhelms inlet capacity. Second, it is geographically uneven: convective cells can deliver extreme totals in one catchment while the adjacent emirate stays dry, which is why site-level observation has to sit alongside a national forecast. Third, the ground does not absorb what falls. Compacted subgrade, sabkha, urban hardstanding and graded platforms shed water quickly, so runoff arrives at low points and excavation edges faster than many sites expect.</w:t>
      </w:r>
    </w:p>
    <w:p>
      <w:r>
        <w:t>Add the wind, lightning and reduced visibility that accompany convective storms, and the risk profile spans far more than flooding: excavations that slough or collapse, crane and scaffold operations that exceed their design margins, wet electrical installations that remain energised, contaminated water leaving the site, and welfare facilities that fail exactly when workers need them most.</w:t>
      </w:r>
    </w:p>
    <w:p>
      <w:r>
        <w:t>The strategic picture is improving. Dubai's Tasreef programme awarded AED 1.439 billion in contracts in April 2025 for more than 36 km of new drainage lines, and by December 2025 the municipality reported 60 km of above-ground pumping lines, six temporary lakes, up to 600,000 cubic metres of storage, ten outfalls and more than 84,000 inlet inspections. Al Ain completed a box culvert project with a stated 20 cubic metres per second capacity, and Fujairah's Public Works and Agriculture Department announced a 77 km rainwater drainage network with two tunnels. None of this removes the site-level duty. Municipal capacity is a network property; a plot still floods because its own levels, inlets, pumps or discharge route are inadequate.</w:t>
      </w:r>
    </w:p>
    <w:p>
      <w:r>
        <w:rPr>
          <w:b/>
          <w:color w:val="0F2C4C"/>
          <w:sz w:val="19"/>
        </w:rPr>
        <w:t>Verified UAE rain and flood events, and what they changed</w:t>
      </w:r>
    </w:p>
    <w:tbl>
      <w:tblPr>
        <w:tblStyle w:val="TableGrid"/>
        <w:tblW w:type="auto" w:w="0"/>
        <w:jc w:val="center"/>
        <w:tblLook w:firstColumn="1" w:firstRow="1" w:lastColumn="0" w:lastRow="0" w:noHBand="0" w:noVBand="1" w:val="04A0"/>
        <w:tblLayout w:type="fixed"/>
      </w:tblPr>
      <w:tblGrid>
        <w:gridCol w:w="1474"/>
        <w:gridCol w:w="2835"/>
        <w:gridCol w:w="2495"/>
        <w:gridCol w:w="2835"/>
      </w:tblGrid>
      <w:tr>
        <w:trPr>
          <w:cantSplit/>
        </w:trPr>
        <w:tc>
          <w:tcPr>
            <w:tcW w:type="dxa" w:w="1474"/>
            <w:shd w:val="clear" w:color="auto" w:fill="126E6E"/>
          </w:tcPr>
          <w:p>
            <w:r/>
            <w:r>
              <w:rPr>
                <w:b/>
                <w:color w:val="FFFFFF"/>
                <w:sz w:val="17"/>
              </w:rPr>
              <w:t>Date</w:t>
            </w:r>
          </w:p>
        </w:tc>
        <w:tc>
          <w:tcPr>
            <w:tcW w:type="dxa" w:w="2835"/>
            <w:shd w:val="clear" w:color="auto" w:fill="126E6E"/>
          </w:tcPr>
          <w:p>
            <w:r/>
            <w:r>
              <w:rPr>
                <w:b/>
                <w:color w:val="FFFFFF"/>
                <w:sz w:val="17"/>
              </w:rPr>
              <w:t>Event or observed impact</w:t>
            </w:r>
          </w:p>
        </w:tc>
        <w:tc>
          <w:tcPr>
            <w:tcW w:type="dxa" w:w="2494"/>
            <w:shd w:val="clear" w:color="auto" w:fill="126E6E"/>
          </w:tcPr>
          <w:p>
            <w:r/>
            <w:r>
              <w:rPr>
                <w:b/>
                <w:color w:val="FFFFFF"/>
                <w:sz w:val="17"/>
              </w:rPr>
              <w:t>What it exposed</w:t>
            </w:r>
          </w:p>
        </w:tc>
        <w:tc>
          <w:tcPr>
            <w:tcW w:type="dxa" w:w="2835"/>
            <w:shd w:val="clear" w:color="auto" w:fill="126E6E"/>
          </w:tcPr>
          <w:p>
            <w:r/>
            <w:r>
              <w:rPr>
                <w:b/>
                <w:color w:val="FFFFFF"/>
                <w:sz w:val="17"/>
              </w:rPr>
              <w:t>What should change on site</w:t>
            </w:r>
          </w:p>
        </w:tc>
      </w:tr>
      <w:tr>
        <w:trPr>
          <w:cantSplit/>
        </w:trPr>
        <w:tc>
          <w:tcPr>
            <w:tcW w:type="dxa" w:w="1474"/>
          </w:tcPr>
          <w:p>
            <w:r/>
            <w:r>
              <w:rPr>
                <w:sz w:val="17"/>
              </w:rPr>
              <w:t>16-17 Apr 2024</w:t>
            </w:r>
          </w:p>
        </w:tc>
        <w:tc>
          <w:tcPr>
            <w:tcW w:type="dxa" w:w="2835"/>
          </w:tcPr>
          <w:p>
            <w:r/>
            <w:r>
              <w:rPr>
                <w:sz w:val="17"/>
              </w:rPr>
              <w:t>Heaviest UAE rainfall since records began in 1949; 254 mm in under 24 hours at Khatm Al Shakla; widespread disruption to roads, airports, utilities and buildings.</w:t>
            </w:r>
          </w:p>
        </w:tc>
        <w:tc>
          <w:tcPr>
            <w:tcW w:type="dxa" w:w="2494"/>
          </w:tcPr>
          <w:p>
            <w:r/>
            <w:r>
              <w:rPr>
                <w:sz w:val="17"/>
              </w:rPr>
              <w:t>Short-duration extreme rain overwhelms normal drainage assumptions; low points, access and temporary systems are vulnerable.</w:t>
            </w:r>
          </w:p>
        </w:tc>
        <w:tc>
          <w:tcPr>
            <w:tcW w:type="dxa" w:w="2835"/>
          </w:tcPr>
          <w:p>
            <w:r/>
            <w:r>
              <w:rPr>
                <w:sz w:val="17"/>
              </w:rPr>
              <w:t>Treat extreme-cell rainfall as a design and emergency scenario: redundant pumping, protected power, safe access, evacuation and multi-day recovery.</w:t>
            </w:r>
          </w:p>
        </w:tc>
      </w:tr>
      <w:tr>
        <w:trPr>
          <w:cantSplit/>
        </w:trPr>
        <w:tc>
          <w:tcPr>
            <w:tcW w:type="dxa" w:w="1474"/>
            <w:shd w:val="clear" w:color="auto" w:fill="F2F6FA"/>
          </w:tcPr>
          <w:p>
            <w:r/>
            <w:r>
              <w:rPr>
                <w:sz w:val="17"/>
              </w:rPr>
              <w:t>24 Apr 2024</w:t>
            </w:r>
          </w:p>
        </w:tc>
        <w:tc>
          <w:tcPr>
            <w:tcW w:type="dxa" w:w="2835"/>
            <w:shd w:val="clear" w:color="auto" w:fill="F2F6FA"/>
          </w:tcPr>
          <w:p>
            <w:r/>
            <w:r>
              <w:rPr>
                <w:sz w:val="17"/>
              </w:rPr>
              <w:t>Cabinet approved AED 2bn in relief for citizens' homes and created a federal and local flood and infrastructure damage committee.</w:t>
            </w:r>
          </w:p>
        </w:tc>
        <w:tc>
          <w:tcPr>
            <w:tcW w:type="dxa" w:w="2494"/>
            <w:shd w:val="clear" w:color="auto" w:fill="F2F6FA"/>
          </w:tcPr>
          <w:p>
            <w:r/>
            <w:r>
              <w:rPr>
                <w:sz w:val="17"/>
              </w:rPr>
              <w:t>Recovery is an evidence, assessment and coordination operation, not a same-day return to normal.</w:t>
            </w:r>
          </w:p>
        </w:tc>
        <w:tc>
          <w:tcPr>
            <w:tcW w:type="dxa" w:w="2835"/>
            <w:shd w:val="clear" w:color="auto" w:fill="F2F6FA"/>
          </w:tcPr>
          <w:p>
            <w:r/>
            <w:r>
              <w:rPr>
                <w:sz w:val="17"/>
              </w:rPr>
              <w:t>Preserve photographs, logs, pump hours, notices, damage segregation and mitigation costs; notify the insurer and contract administrator early.</w:t>
            </w:r>
          </w:p>
        </w:tc>
      </w:tr>
      <w:tr>
        <w:trPr>
          <w:cantSplit/>
        </w:trPr>
        <w:tc>
          <w:tcPr>
            <w:tcW w:type="dxa" w:w="1474"/>
          </w:tcPr>
          <w:p>
            <w:r/>
            <w:r>
              <w:rPr>
                <w:sz w:val="17"/>
              </w:rPr>
              <w:t>28 Apr 2024</w:t>
            </w:r>
          </w:p>
        </w:tc>
        <w:tc>
          <w:tcPr>
            <w:tcW w:type="dxa" w:w="2835"/>
          </w:tcPr>
          <w:p>
            <w:r/>
            <w:r>
              <w:rPr>
                <w:sz w:val="17"/>
              </w:rPr>
              <w:t>MOI and NCEMA reported 97 entities, over 32,000 personnel, about 5,000 vehicles and machines, 207,691 calls, 1,828 evacuations and 139 rescues.</w:t>
            </w:r>
          </w:p>
        </w:tc>
        <w:tc>
          <w:tcPr>
            <w:tcW w:type="dxa" w:w="2494"/>
          </w:tcPr>
          <w:p>
            <w:r/>
            <w:r>
              <w:rPr>
                <w:sz w:val="17"/>
              </w:rPr>
              <w:t>Access, transport and welfare can fail at a scale beyond site resources.</w:t>
            </w:r>
          </w:p>
        </w:tc>
        <w:tc>
          <w:tcPr>
            <w:tcW w:type="dxa" w:w="2835"/>
          </w:tcPr>
          <w:p>
            <w:r/>
            <w:r>
              <w:rPr>
                <w:sz w:val="17"/>
              </w:rPr>
              <w:t>Maintain alternate access, worker accounting, shelter and transport continuity, and escalate early. Never improvise water rescue.</w:t>
            </w:r>
          </w:p>
        </w:tc>
      </w:tr>
      <w:tr>
        <w:trPr>
          <w:cantSplit/>
        </w:trPr>
        <w:tc>
          <w:tcPr>
            <w:tcW w:type="dxa" w:w="1474"/>
            <w:shd w:val="clear" w:color="auto" w:fill="F2F6FA"/>
          </w:tcPr>
          <w:p>
            <w:r/>
            <w:r>
              <w:rPr>
                <w:sz w:val="17"/>
              </w:rPr>
              <w:t>5 May 2024</w:t>
            </w:r>
          </w:p>
        </w:tc>
        <w:tc>
          <w:tcPr>
            <w:tcW w:type="dxa" w:w="2835"/>
            <w:shd w:val="clear" w:color="auto" w:fill="F2F6FA"/>
          </w:tcPr>
          <w:p>
            <w:r/>
            <w:r>
              <w:rPr>
                <w:sz w:val="17"/>
              </w:rPr>
              <w:t>Dubai Municipality disinfected 102 water-collection sites and more than 75,000 drainage outlets, and inspected construction sites.</w:t>
            </w:r>
          </w:p>
        </w:tc>
        <w:tc>
          <w:tcPr>
            <w:tcW w:type="dxa" w:w="2494"/>
            <w:shd w:val="clear" w:color="auto" w:fill="F2F6FA"/>
          </w:tcPr>
          <w:p>
            <w:r/>
            <w:r>
              <w:rPr>
                <w:sz w:val="17"/>
              </w:rPr>
              <w:t>Stagnant water, blocked inlets, mosquito breeding and wet materials persist long after the rain stops.</w:t>
            </w:r>
          </w:p>
        </w:tc>
        <w:tc>
          <w:tcPr>
            <w:tcW w:type="dxa" w:w="2835"/>
            <w:shd w:val="clear" w:color="auto" w:fill="F2F6FA"/>
          </w:tcPr>
          <w:p>
            <w:r/>
            <w:r>
              <w:rPr>
                <w:sz w:val="17"/>
              </w:rPr>
              <w:t>Add drain cleaning, pest control, potable-water and welfare inspection, and clean-up PPE to the post-event release.</w:t>
            </w:r>
          </w:p>
        </w:tc>
      </w:tr>
      <w:tr>
        <w:trPr>
          <w:cantSplit/>
        </w:trPr>
        <w:tc>
          <w:tcPr>
            <w:tcW w:type="dxa" w:w="1474"/>
          </w:tcPr>
          <w:p>
            <w:r/>
            <w:r>
              <w:rPr>
                <w:sz w:val="17"/>
              </w:rPr>
              <w:t>13 Apr 2025</w:t>
            </w:r>
          </w:p>
        </w:tc>
        <w:tc>
          <w:tcPr>
            <w:tcW w:type="dxa" w:w="2835"/>
          </w:tcPr>
          <w:p>
            <w:r/>
            <w:r>
              <w:rPr>
                <w:sz w:val="17"/>
              </w:rPr>
              <w:t>Dubai awarded AED 1.439bn in Tasreef drainage contracts for more than 36 km of new lines, targeting a 700% capacity increase over 100 years.</w:t>
            </w:r>
          </w:p>
        </w:tc>
        <w:tc>
          <w:tcPr>
            <w:tcW w:type="dxa" w:w="2494"/>
          </w:tcPr>
          <w:p>
            <w:r/>
            <w:r>
              <w:rPr>
                <w:sz w:val="17"/>
              </w:rPr>
              <w:t>Strategic municipal upgrades do not assure site-level conveyance, pump capacity or discharge acceptance.</w:t>
            </w:r>
          </w:p>
        </w:tc>
        <w:tc>
          <w:tcPr>
            <w:tcW w:type="dxa" w:w="2835"/>
          </w:tcPr>
          <w:p>
            <w:r/>
            <w:r>
              <w:rPr>
                <w:sz w:val="17"/>
              </w:rPr>
              <w:t>Coordinate interfaces and retain temporary drainage and pump plans; never treat a city programme as a site flood guarantee.</w:t>
            </w:r>
          </w:p>
        </w:tc>
      </w:tr>
      <w:tr>
        <w:trPr>
          <w:cantSplit/>
        </w:trPr>
        <w:tc>
          <w:tcPr>
            <w:tcW w:type="dxa" w:w="1474"/>
            <w:shd w:val="clear" w:color="auto" w:fill="F2F6FA"/>
          </w:tcPr>
          <w:p>
            <w:r/>
            <w:r>
              <w:rPr>
                <w:sz w:val="17"/>
              </w:rPr>
              <w:t>30 Aug 2025</w:t>
            </w:r>
          </w:p>
        </w:tc>
        <w:tc>
          <w:tcPr>
            <w:tcW w:type="dxa" w:w="2835"/>
            <w:shd w:val="clear" w:color="auto" w:fill="F2F6FA"/>
          </w:tcPr>
          <w:p>
            <w:r/>
            <w:r>
              <w:rPr>
                <w:sz w:val="17"/>
              </w:rPr>
              <w:t>Al Ain box culvert released with a stated 20 m3/s capacity, 4.5 m depth, and inconsistent 2,390 m and 2,600 m length descriptions.</w:t>
            </w:r>
          </w:p>
        </w:tc>
        <w:tc>
          <w:tcPr>
            <w:tcW w:type="dxa" w:w="2494"/>
            <w:shd w:val="clear" w:color="auto" w:fill="F2F6FA"/>
          </w:tcPr>
          <w:p>
            <w:r/>
            <w:r>
              <w:rPr>
                <w:sz w:val="17"/>
              </w:rPr>
              <w:t>Public releases can contain conflicting design details; press releases are not as-built data.</w:t>
            </w:r>
          </w:p>
        </w:tc>
        <w:tc>
          <w:tcPr>
            <w:tcW w:type="dxa" w:w="2835"/>
            <w:shd w:val="clear" w:color="auto" w:fill="F2F6FA"/>
          </w:tcPr>
          <w:p>
            <w:r/>
            <w:r>
              <w:rPr>
                <w:sz w:val="17"/>
              </w:rPr>
              <w:t>Obtain approved drawings and as-builts rather than importing media figures into a design or a flood assessment.</w:t>
            </w:r>
          </w:p>
        </w:tc>
      </w:tr>
      <w:tr>
        <w:trPr>
          <w:cantSplit/>
        </w:trPr>
        <w:tc>
          <w:tcPr>
            <w:tcW w:type="dxa" w:w="1474"/>
          </w:tcPr>
          <w:p>
            <w:r/>
            <w:r>
              <w:rPr>
                <w:sz w:val="17"/>
              </w:rPr>
              <w:t>18 Dec 2025</w:t>
            </w:r>
          </w:p>
        </w:tc>
        <w:tc>
          <w:tcPr>
            <w:tcW w:type="dxa" w:w="2835"/>
          </w:tcPr>
          <w:p>
            <w:r/>
            <w:r>
              <w:rPr>
                <w:sz w:val="17"/>
              </w:rPr>
              <w:t>Dubai reported 60 km of pumping lines, six temporary lakes, up to 600,000 m3 storage, ten outfalls and more than 84,000 inlet inspections.</w:t>
            </w:r>
          </w:p>
        </w:tc>
        <w:tc>
          <w:tcPr>
            <w:tcW w:type="dxa" w:w="2494"/>
          </w:tcPr>
          <w:p>
            <w:r/>
            <w:r>
              <w:rPr>
                <w:sz w:val="17"/>
              </w:rPr>
              <w:t>Readiness depends on pre-positioned capacity, inspection and 24/7 mobilisation.</w:t>
            </w:r>
          </w:p>
        </w:tc>
        <w:tc>
          <w:tcPr>
            <w:tcW w:type="dxa" w:w="2835"/>
          </w:tcPr>
          <w:p>
            <w:r/>
            <w:r>
              <w:rPr>
                <w:sz w:val="17"/>
              </w:rPr>
              <w:t>Pre-book pumps and tankers, test backup power, verify lawful outfalls and exercise the call-out chain before the first storm.</w:t>
            </w:r>
          </w:p>
        </w:tc>
      </w:tr>
      <w:tr>
        <w:trPr>
          <w:cantSplit/>
        </w:trPr>
        <w:tc>
          <w:tcPr>
            <w:tcW w:type="dxa" w:w="1474"/>
            <w:shd w:val="clear" w:color="auto" w:fill="F2F6FA"/>
          </w:tcPr>
          <w:p>
            <w:r/>
            <w:r>
              <w:rPr>
                <w:sz w:val="17"/>
              </w:rPr>
              <w:t>2026 (research cut-off)</w:t>
            </w:r>
          </w:p>
        </w:tc>
        <w:tc>
          <w:tcPr>
            <w:tcW w:type="dxa" w:w="2835"/>
            <w:shd w:val="clear" w:color="auto" w:fill="F2F6FA"/>
          </w:tcPr>
          <w:p>
            <w:r/>
            <w:r>
              <w:rPr>
                <w:sz w:val="17"/>
              </w:rPr>
              <w:t>No verified 2026 rain or flood event, and no named storm, was identified in the authoritative sources reviewed.</w:t>
            </w:r>
          </w:p>
        </w:tc>
        <w:tc>
          <w:tcPr>
            <w:tcW w:type="dxa" w:w="2494"/>
            <w:shd w:val="clear" w:color="auto" w:fill="F2F6FA"/>
          </w:tcPr>
          <w:p>
            <w:r/>
            <w:r>
              <w:rPr>
                <w:sz w:val="17"/>
              </w:rPr>
              <w:t>Unsupported event names and figures corrupt risk files and insurance submissions.</w:t>
            </w:r>
          </w:p>
        </w:tc>
        <w:tc>
          <w:tcPr>
            <w:tcW w:type="dxa" w:w="2835"/>
            <w:shd w:val="clear" w:color="auto" w:fill="F2F6FA"/>
          </w:tcPr>
          <w:p>
            <w:r/>
            <w:r>
              <w:rPr>
                <w:sz w:val="17"/>
              </w:rPr>
              <w:t>Use live NCM, NCEMA and emirate notices; do not invent a storm name or assume a clear morning removes thunderstorm risk.</w:t>
            </w:r>
          </w:p>
        </w:tc>
      </w:tr>
    </w:tbl>
    <w:p/>
    <w:p>
      <w:pPr>
        <w:pStyle w:val="Heading2"/>
      </w:pPr>
      <w:r>
        <w:t>2. The regulatory chain: federal, emirate, free zone and utility</w:t>
      </w:r>
    </w:p>
    <w:p>
      <w:r>
        <w:t>The most common compliance failure in rain readiness is not ignorance of the rules; it is looking in the wrong place. The UAE regulates weather readiness through a chain of authorities, each with a different lever, and a site must satisfy all of the levers that apply to it.</w:t>
      </w:r>
    </w:p>
    <w:p>
      <w:pPr>
        <w:pStyle w:val="ListBullet"/>
      </w:pPr>
      <w:r>
        <w:t>Federal level: NCEMA coordinates national emergency management, the National Early Warning System, preparedness guidance and the Civil Defence Authority; the National Center of Meteorology (NCM) issues the forecast and warnings that trigger action; MOHRE issues exceptional-weather and remote-work guidance for the private sector; the Ministry of Energy and Infrastructure covers federal roads, dams and drainage; and federal environmental, waste and public-health laws set the pollution, waste and water duties that apply everywhere.</w:t>
      </w:r>
    </w:p>
    <w:p>
      <w:pPr>
        <w:pStyle w:val="ListBullet"/>
      </w:pPr>
      <w:r>
        <w:t>Emirate level: the municipality controls building and site permits, drainage interfaces and NOCs; the Civil Defence authority controls fire and life-safety approvals and emergency response; and the emirate environmental regulator controls environmental clearance, dewatering and discharge.</w:t>
      </w:r>
    </w:p>
    <w:p>
      <w:pPr>
        <w:pStyle w:val="ListBullet"/>
      </w:pPr>
      <w:r>
        <w:t>Utility level: DEWA in Dubai, SEWA in Sharjah and Etihad Water and Electricity in Ajman, Umm Al Quwain, Ras Al Khaimah and Fujairah control temporary connections, earthing and re-energisation after water ingress.</w:t>
      </w:r>
    </w:p>
    <w:p>
      <w:pPr>
        <w:pStyle w:val="ListBullet"/>
      </w:pPr>
      <w:r>
        <w:t>Free zone and special jurisdiction level: PCFC/Trakhees and the Dubai Development Authority in Dubai, Hamriyah Free Zone Authority and SAIF in Sharjah, RAKEZ in Ras Al Khaimah, and Fujairah Free Zone and the Port of Fujairah all impose their own permits and controls.</w:t>
      </w:r>
    </w:p>
    <w:tbl>
      <w:tblPr>
        <w:tblStyle w:val="TableGrid"/>
        <w:tblW w:type="auto" w:w="0"/>
        <w:tblLook w:firstColumn="1" w:firstRow="1" w:lastColumn="0" w:lastRow="0" w:noHBand="0" w:noVBand="1" w:val="04A0"/>
      </w:tblPr>
      <w:tblGrid>
        <w:gridCol w:w="9752"/>
      </w:tblGrid>
      <w:tr>
        <w:tc>
          <w:tcPr>
            <w:tcW w:type="dxa" w:w="9752"/>
            <w:shd w:val="clear" w:color="auto" w:fill="FFF4E0"/>
          </w:tcPr>
          <w:p>
            <w:r/>
            <w:r>
              <w:rPr>
                <w:b/>
                <w:color w:val="9C5700"/>
                <w:sz w:val="18"/>
              </w:rPr>
              <w:t>Live-decision rule: NCM is the forecast and warning source, but a warning colour is not a construction work permit. Record the exact NCM hazard text, affected area, issue time and validity, then apply the project's own alert matrix and any direction from NCEMA, the emirate authority or the Civil Defence.</w:t>
            </w:r>
          </w:p>
        </w:tc>
      </w:tr>
    </w:tbl>
    <w:p/>
    <w:p>
      <w:pPr>
        <w:pStyle w:val="Heading2"/>
      </w:pPr>
      <w:r>
        <w:t>3. Emirate by emirate: who to notify, what to check and who to call</w:t>
      </w:r>
    </w:p>
    <w:p>
      <w:r>
        <w:t>The table below is a cross-check map. Each row identifies the authority that issues the binding conditions, the utility that controls temporary power and water, the environmental regulator, the emergency route, the local hazard that most often catches sites out, and the reference material a contractor can verify online. Confirm every entry against the live authority page before the wet season, because service routes and contacts change.</w:t>
      </w:r>
    </w:p>
    <w:p>
      <w:r>
        <w:rPr>
          <w:b/>
          <w:color w:val="0F2C4C"/>
          <w:sz w:val="19"/>
        </w:rPr>
        <w:t>UAE emirate cross-reference for rain readiness</w:t>
      </w:r>
    </w:p>
    <w:tbl>
      <w:tblPr>
        <w:tblStyle w:val="TableGrid"/>
        <w:tblW w:type="auto" w:w="0"/>
        <w:jc w:val="center"/>
        <w:tblLook w:firstColumn="1" w:firstRow="1" w:lastColumn="0" w:lastRow="0" w:noHBand="0" w:noVBand="1" w:val="04A0"/>
        <w:tblLayout w:type="fixed"/>
      </w:tblPr>
      <w:tblGrid>
        <w:gridCol w:w="1077"/>
        <w:gridCol w:w="1928"/>
        <w:gridCol w:w="1474"/>
        <w:gridCol w:w="1361"/>
        <w:gridCol w:w="1304"/>
        <w:gridCol w:w="1531"/>
        <w:gridCol w:w="2098"/>
      </w:tblGrid>
      <w:tr>
        <w:trPr>
          <w:cantSplit/>
        </w:trPr>
        <w:tc>
          <w:tcPr>
            <w:tcW w:type="dxa" w:w="1077"/>
            <w:shd w:val="clear" w:color="auto" w:fill="126E6E"/>
          </w:tcPr>
          <w:p>
            <w:r/>
            <w:r>
              <w:rPr>
                <w:b/>
                <w:color w:val="FFFFFF"/>
                <w:sz w:val="17"/>
              </w:rPr>
              <w:t>Emirate</w:t>
            </w:r>
          </w:p>
        </w:tc>
        <w:tc>
          <w:tcPr>
            <w:tcW w:type="dxa" w:w="1928"/>
            <w:shd w:val="clear" w:color="auto" w:fill="126E6E"/>
          </w:tcPr>
          <w:p>
            <w:r/>
            <w:r>
              <w:rPr>
                <w:b/>
                <w:color w:val="FFFFFF"/>
                <w:sz w:val="17"/>
              </w:rPr>
              <w:t>Notify / permit authority</w:t>
            </w:r>
          </w:p>
        </w:tc>
        <w:tc>
          <w:tcPr>
            <w:tcW w:type="dxa" w:w="1474"/>
            <w:shd w:val="clear" w:color="auto" w:fill="126E6E"/>
          </w:tcPr>
          <w:p>
            <w:r/>
            <w:r>
              <w:rPr>
                <w:b/>
                <w:color w:val="FFFFFF"/>
                <w:sz w:val="17"/>
              </w:rPr>
              <w:t>Utility</w:t>
            </w:r>
          </w:p>
        </w:tc>
        <w:tc>
          <w:tcPr>
            <w:tcW w:type="dxa" w:w="1361"/>
            <w:shd w:val="clear" w:color="auto" w:fill="126E6E"/>
          </w:tcPr>
          <w:p>
            <w:r/>
            <w:r>
              <w:rPr>
                <w:b/>
                <w:color w:val="FFFFFF"/>
                <w:sz w:val="17"/>
              </w:rPr>
              <w:t>Environmental regulator</w:t>
            </w:r>
          </w:p>
        </w:tc>
        <w:tc>
          <w:tcPr>
            <w:tcW w:type="dxa" w:w="1304"/>
            <w:shd w:val="clear" w:color="auto" w:fill="126E6E"/>
          </w:tcPr>
          <w:p>
            <w:r/>
            <w:r>
              <w:rPr>
                <w:b/>
                <w:color w:val="FFFFFF"/>
                <w:sz w:val="17"/>
              </w:rPr>
              <w:t>Emergency route</w:t>
            </w:r>
          </w:p>
        </w:tc>
        <w:tc>
          <w:tcPr>
            <w:tcW w:type="dxa" w:w="1531"/>
            <w:shd w:val="clear" w:color="auto" w:fill="126E6E"/>
          </w:tcPr>
          <w:p>
            <w:r/>
            <w:r>
              <w:rPr>
                <w:b/>
                <w:color w:val="FFFFFF"/>
                <w:sz w:val="17"/>
              </w:rPr>
              <w:t>Key local hazard</w:t>
            </w:r>
          </w:p>
        </w:tc>
        <w:tc>
          <w:tcPr>
            <w:tcW w:type="dxa" w:w="2098"/>
            <w:shd w:val="clear" w:color="auto" w:fill="126E6E"/>
          </w:tcPr>
          <w:p>
            <w:r/>
            <w:r>
              <w:rPr>
                <w:b/>
                <w:color w:val="FFFFFF"/>
                <w:sz w:val="17"/>
              </w:rPr>
              <w:t>What to cross-check online</w:t>
            </w:r>
          </w:p>
        </w:tc>
      </w:tr>
      <w:tr>
        <w:trPr>
          <w:cantSplit/>
        </w:trPr>
        <w:tc>
          <w:tcPr>
            <w:tcW w:type="dxa" w:w="1077"/>
          </w:tcPr>
          <w:p>
            <w:r/>
            <w:r>
              <w:rPr>
                <w:sz w:val="17"/>
              </w:rPr>
              <w:t>Abu Dhabi</w:t>
            </w:r>
          </w:p>
        </w:tc>
        <w:tc>
          <w:tcPr>
            <w:tcW w:type="dxa" w:w="1928"/>
          </w:tcPr>
          <w:p>
            <w:r/>
            <w:r>
              <w:rPr>
                <w:sz w:val="17"/>
              </w:rPr>
              <w:t>DMT with Abu Dhabi City, Al Ain and Al Dhafra Municipalities; NOCs are compulsory prerequisites where applicable</w:t>
            </w:r>
          </w:p>
        </w:tc>
        <w:tc>
          <w:tcPr>
            <w:tcW w:type="dxa" w:w="1474"/>
          </w:tcPr>
          <w:p>
            <w:r/>
            <w:r>
              <w:rPr>
                <w:sz w:val="17"/>
              </w:rPr>
              <w:t>Verify the serving utility and asset owner through the DMT NOC process; ADOSH-SF controls temporary electrical safety</w:t>
            </w:r>
          </w:p>
        </w:tc>
        <w:tc>
          <w:tcPr>
            <w:tcW w:type="dxa" w:w="1361"/>
          </w:tcPr>
          <w:p>
            <w:r/>
            <w:r>
              <w:rPr>
                <w:sz w:val="17"/>
              </w:rPr>
              <w:t>Environment Agency - Abu Dhabi (EAD)</w:t>
            </w:r>
          </w:p>
        </w:tc>
        <w:tc>
          <w:tcPr>
            <w:tcW w:type="dxa" w:w="1304"/>
          </w:tcPr>
          <w:p>
            <w:r/>
            <w:r>
              <w:rPr>
                <w:sz w:val="17"/>
              </w:rPr>
              <w:t>999 Police / 997 Civil Defence / 998 ambulance</w:t>
            </w:r>
          </w:p>
        </w:tc>
        <w:tc>
          <w:tcPr>
            <w:tcW w:type="dxa" w:w="1531"/>
          </w:tcPr>
          <w:p>
            <w:r/>
            <w:r>
              <w:rPr>
                <w:sz w:val="17"/>
              </w:rPr>
              <w:t>Urban low points and excavations; Al Ain runoff; coastal, sabkha and mangrove receptors</w:t>
            </w:r>
          </w:p>
        </w:tc>
        <w:tc>
          <w:tcPr>
            <w:tcW w:type="dxa" w:w="2098"/>
          </w:tcPr>
          <w:p>
            <w:r/>
            <w:r>
              <w:rPr>
                <w:sz w:val="17"/>
              </w:rPr>
              <w:t>DMT Infrastructure Services Standards and the WA-726 stormwater documents; ADOSH CoP 15, 26, 29 and 34; EAD permit and receptor checks</w:t>
            </w:r>
          </w:p>
        </w:tc>
      </w:tr>
      <w:tr>
        <w:trPr>
          <w:cantSplit/>
        </w:trPr>
        <w:tc>
          <w:tcPr>
            <w:tcW w:type="dxa" w:w="1077"/>
            <w:shd w:val="clear" w:color="auto" w:fill="F2F6FA"/>
          </w:tcPr>
          <w:p>
            <w:r/>
            <w:r>
              <w:rPr>
                <w:sz w:val="17"/>
              </w:rPr>
              <w:t>Dubai</w:t>
            </w:r>
          </w:p>
        </w:tc>
        <w:tc>
          <w:tcPr>
            <w:tcW w:type="dxa" w:w="1928"/>
            <w:shd w:val="clear" w:color="auto" w:fill="F2F6FA"/>
          </w:tcPr>
          <w:p>
            <w:r/>
            <w:r>
              <w:rPr>
                <w:sz w:val="17"/>
              </w:rPr>
              <w:t>Dubai Municipality; RTA for road interface; DDA or Trakhees/PCFC where jurisdiction applies</w:t>
            </w:r>
          </w:p>
        </w:tc>
        <w:tc>
          <w:tcPr>
            <w:tcW w:type="dxa" w:w="1474"/>
            <w:shd w:val="clear" w:color="auto" w:fill="F2F6FA"/>
          </w:tcPr>
          <w:p>
            <w:r/>
            <w:r>
              <w:rPr>
                <w:sz w:val="17"/>
              </w:rPr>
              <w:t>DEWA, through the approved temporary-power process</w:t>
            </w:r>
          </w:p>
        </w:tc>
        <w:tc>
          <w:tcPr>
            <w:tcW w:type="dxa" w:w="1361"/>
            <w:shd w:val="clear" w:color="auto" w:fill="F2F6FA"/>
          </w:tcPr>
          <w:p>
            <w:r/>
            <w:r>
              <w:rPr>
                <w:sz w:val="17"/>
              </w:rPr>
              <w:t>DM Environmental Sustainability Department (EC, EIA and CECP conditions)</w:t>
            </w:r>
          </w:p>
        </w:tc>
        <w:tc>
          <w:tcPr>
            <w:tcW w:type="dxa" w:w="1304"/>
            <w:shd w:val="clear" w:color="auto" w:fill="F2F6FA"/>
          </w:tcPr>
          <w:p>
            <w:r/>
            <w:r>
              <w:rPr>
                <w:sz w:val="17"/>
              </w:rPr>
              <w:t>997 Civil Defence / 999 Police / 998 ambulance</w:t>
            </w:r>
          </w:p>
        </w:tc>
        <w:tc>
          <w:tcPr>
            <w:tcW w:type="dxa" w:w="1531"/>
            <w:shd w:val="clear" w:color="auto" w:fill="F2F6FA"/>
          </w:tcPr>
          <w:p>
            <w:r/>
            <w:r>
              <w:rPr>
                <w:sz w:val="17"/>
              </w:rPr>
              <w:t>Basement ramps, shafts and lift pits; dense urban drainage; coastal and marine interfaces</w:t>
            </w:r>
          </w:p>
        </w:tc>
        <w:tc>
          <w:tcPr>
            <w:tcW w:type="dxa" w:w="2098"/>
            <w:shd w:val="clear" w:color="auto" w:fill="F2F6FA"/>
          </w:tcPr>
          <w:p>
            <w:r/>
            <w:r>
              <w:rPr>
                <w:sz w:val="17"/>
              </w:rPr>
              <w:t>DM stormwater and sewerage guidance; DDA Dewatering NOC; DEWA circulars; DCD Fire and Life Safety Code; Dubai Building Code 2021</w:t>
            </w:r>
          </w:p>
        </w:tc>
      </w:tr>
      <w:tr>
        <w:trPr>
          <w:cantSplit/>
        </w:trPr>
        <w:tc>
          <w:tcPr>
            <w:tcW w:type="dxa" w:w="1077"/>
          </w:tcPr>
          <w:p>
            <w:r/>
            <w:r>
              <w:rPr>
                <w:sz w:val="17"/>
              </w:rPr>
              <w:t>Sharjah</w:t>
            </w:r>
          </w:p>
        </w:tc>
        <w:tc>
          <w:tcPr>
            <w:tcW w:type="dxa" w:w="1928"/>
          </w:tcPr>
          <w:p>
            <w:r/>
            <w:r>
              <w:rPr>
                <w:sz w:val="17"/>
              </w:rPr>
              <w:t>Sharjah City Municipality (municipal emergency 993); confirm the successor planning and survey owner after the UPC dissolution</w:t>
            </w:r>
          </w:p>
        </w:tc>
        <w:tc>
          <w:tcPr>
            <w:tcW w:type="dxa" w:w="1474"/>
          </w:tcPr>
          <w:p>
            <w:r/>
            <w:r>
              <w:rPr>
                <w:sz w:val="17"/>
              </w:rPr>
              <w:t>SEWA (emergency 991)</w:t>
            </w:r>
          </w:p>
        </w:tc>
        <w:tc>
          <w:tcPr>
            <w:tcW w:type="dxa" w:w="1361"/>
          </w:tcPr>
          <w:p>
            <w:r/>
            <w:r>
              <w:rPr>
                <w:sz w:val="17"/>
              </w:rPr>
              <w:t>EPAA Sharjah; municipal environmental permit route; HFZA EHS in Hamriyah</w:t>
            </w:r>
          </w:p>
        </w:tc>
        <w:tc>
          <w:tcPr>
            <w:tcW w:type="dxa" w:w="1304"/>
          </w:tcPr>
          <w:p>
            <w:r/>
            <w:r>
              <w:rPr>
                <w:sz w:val="17"/>
              </w:rPr>
              <w:t>997 Civil Defence / 998 ambulance / 999 Police</w:t>
            </w:r>
          </w:p>
        </w:tc>
        <w:tc>
          <w:tcPr>
            <w:tcW w:type="dxa" w:w="1531"/>
          </w:tcPr>
          <w:p>
            <w:r/>
            <w:r>
              <w:rPr>
                <w:sz w:val="17"/>
              </w:rPr>
              <w:t>Low points and industrial or coastal interface; public drainage acceptance is project-specific</w:t>
            </w:r>
          </w:p>
        </w:tc>
        <w:tc>
          <w:tcPr>
            <w:tcW w:type="dxa" w:w="2098"/>
          </w:tcPr>
          <w:p>
            <w:r/>
            <w:r>
              <w:rPr>
                <w:sz w:val="17"/>
              </w:rPr>
              <w:t>Municipality drainage e-service (technical conditions must be confirmed directly); SEWA; HFZA EHS kit; EPAA permit route</w:t>
            </w:r>
          </w:p>
        </w:tc>
      </w:tr>
      <w:tr>
        <w:trPr>
          <w:cantSplit/>
        </w:trPr>
        <w:tc>
          <w:tcPr>
            <w:tcW w:type="dxa" w:w="1077"/>
            <w:shd w:val="clear" w:color="auto" w:fill="F2F6FA"/>
          </w:tcPr>
          <w:p>
            <w:r/>
            <w:r>
              <w:rPr>
                <w:sz w:val="17"/>
              </w:rPr>
              <w:t>Ajman</w:t>
            </w:r>
          </w:p>
        </w:tc>
        <w:tc>
          <w:tcPr>
            <w:tcW w:type="dxa" w:w="1928"/>
            <w:shd w:val="clear" w:color="auto" w:fill="F2F6FA"/>
          </w:tcPr>
          <w:p>
            <w:r/>
            <w:r>
              <w:rPr>
                <w:sz w:val="17"/>
              </w:rPr>
              <w:t>Ajman Municipality and Planning Department (MPDA)</w:t>
            </w:r>
          </w:p>
        </w:tc>
        <w:tc>
          <w:tcPr>
            <w:tcW w:type="dxa" w:w="1474"/>
            <w:shd w:val="clear" w:color="auto" w:fill="F2F6FA"/>
          </w:tcPr>
          <w:p>
            <w:r/>
            <w:r>
              <w:rPr>
                <w:sz w:val="17"/>
              </w:rPr>
              <w:t>EtihadWE for temporary and new supply and faults (991 / 992)</w:t>
            </w:r>
          </w:p>
        </w:tc>
        <w:tc>
          <w:tcPr>
            <w:tcW w:type="dxa" w:w="1361"/>
            <w:shd w:val="clear" w:color="auto" w:fill="F2F6FA"/>
          </w:tcPr>
          <w:p>
            <w:r/>
            <w:r>
              <w:rPr>
                <w:sz w:val="17"/>
              </w:rPr>
              <w:t>MPDA local environmental and chemical-storage permit route</w:t>
            </w:r>
          </w:p>
        </w:tc>
        <w:tc>
          <w:tcPr>
            <w:tcW w:type="dxa" w:w="1304"/>
            <w:shd w:val="clear" w:color="auto" w:fill="F2F6FA"/>
          </w:tcPr>
          <w:p>
            <w:r/>
            <w:r>
              <w:rPr>
                <w:sz w:val="17"/>
              </w:rPr>
              <w:t>997 Civil Defence / 998 ambulance / 999 Police; water 922; coast guard 996</w:t>
            </w:r>
          </w:p>
        </w:tc>
        <w:tc>
          <w:tcPr>
            <w:tcW w:type="dxa" w:w="1531"/>
            <w:shd w:val="clear" w:color="auto" w:fill="F2F6FA"/>
          </w:tcPr>
          <w:p>
            <w:r/>
            <w:r>
              <w:rPr>
                <w:sz w:val="17"/>
              </w:rPr>
              <w:t>Al Jurf waste and construction concentration; Corniche and coastal backwater and ponding</w:t>
            </w:r>
          </w:p>
        </w:tc>
        <w:tc>
          <w:tcPr>
            <w:tcW w:type="dxa" w:w="2098"/>
            <w:shd w:val="clear" w:color="auto" w:fill="F2F6FA"/>
          </w:tcPr>
          <w:p>
            <w:r/>
            <w:r>
              <w:rPr>
                <w:sz w:val="17"/>
              </w:rPr>
              <w:t>MPDA building and environmental services; EtihadWE. No parcel-level flood capacity is publicly verified - commission a site survey</w:t>
            </w:r>
          </w:p>
        </w:tc>
      </w:tr>
      <w:tr>
        <w:trPr>
          <w:cantSplit/>
        </w:trPr>
        <w:tc>
          <w:tcPr>
            <w:tcW w:type="dxa" w:w="1077"/>
          </w:tcPr>
          <w:p>
            <w:r/>
            <w:r>
              <w:rPr>
                <w:sz w:val="17"/>
              </w:rPr>
              <w:t>Umm Al Quwain</w:t>
            </w:r>
          </w:p>
        </w:tc>
        <w:tc>
          <w:tcPr>
            <w:tcW w:type="dxa" w:w="1928"/>
          </w:tcPr>
          <w:p>
            <w:r/>
            <w:r>
              <w:rPr>
                <w:sz w:val="17"/>
              </w:rPr>
              <w:t>UAQ Municipality and Government service route; confirm directly if the catalogue is unavailable</w:t>
            </w:r>
          </w:p>
        </w:tc>
        <w:tc>
          <w:tcPr>
            <w:tcW w:type="dxa" w:w="1474"/>
          </w:tcPr>
          <w:p>
            <w:r/>
            <w:r>
              <w:rPr>
                <w:sz w:val="17"/>
              </w:rPr>
              <w:t>EtihadWE (800 3392); national electricity failure 991</w:t>
            </w:r>
          </w:p>
        </w:tc>
        <w:tc>
          <w:tcPr>
            <w:tcW w:type="dxa" w:w="1361"/>
          </w:tcPr>
          <w:p>
            <w:r/>
            <w:r>
              <w:rPr>
                <w:sz w:val="17"/>
              </w:rPr>
              <w:t>Confirm the competent local environmental authority; federal environmental law applies</w:t>
            </w:r>
          </w:p>
        </w:tc>
        <w:tc>
          <w:tcPr>
            <w:tcW w:type="dxa" w:w="1304"/>
          </w:tcPr>
          <w:p>
            <w:r/>
            <w:r>
              <w:rPr>
                <w:sz w:val="17"/>
              </w:rPr>
              <w:t>999 Police / 997 Civil Defence / 998 ambulance; 996 coast guard and 995 search and rescue as relevant</w:t>
            </w:r>
          </w:p>
        </w:tc>
        <w:tc>
          <w:tcPr>
            <w:tcW w:type="dxa" w:w="1531"/>
          </w:tcPr>
          <w:p>
            <w:r/>
            <w:r>
              <w:rPr>
                <w:sz w:val="17"/>
              </w:rPr>
              <w:t>Coastal and tidal flow; mangroves and the Al Sinniyah (Siniya) sensitive habitat</w:t>
            </w:r>
          </w:p>
        </w:tc>
        <w:tc>
          <w:tcPr>
            <w:tcW w:type="dxa" w:w="2098"/>
          </w:tcPr>
          <w:p>
            <w:r/>
            <w:r>
              <w:rPr>
                <w:sz w:val="17"/>
              </w:rPr>
              <w:t>UAQ catalogue and contact page; NCM; EtihadWE; written discharge and protected-area approval</w:t>
            </w:r>
          </w:p>
        </w:tc>
      </w:tr>
      <w:tr>
        <w:trPr>
          <w:cantSplit/>
        </w:trPr>
        <w:tc>
          <w:tcPr>
            <w:tcW w:type="dxa" w:w="1077"/>
            <w:shd w:val="clear" w:color="auto" w:fill="F2F6FA"/>
          </w:tcPr>
          <w:p>
            <w:r/>
            <w:r>
              <w:rPr>
                <w:sz w:val="17"/>
              </w:rPr>
              <w:t>Ras Al Khaimah</w:t>
            </w:r>
          </w:p>
        </w:tc>
        <w:tc>
          <w:tcPr>
            <w:tcW w:type="dxa" w:w="1928"/>
            <w:shd w:val="clear" w:color="auto" w:fill="F2F6FA"/>
          </w:tcPr>
          <w:p>
            <w:r/>
            <w:r>
              <w:rPr>
                <w:sz w:val="17"/>
              </w:rPr>
              <w:t>RAK Municipality; Public Services Department for waste and drainage interfaces; RAKEZ where applicable</w:t>
            </w:r>
          </w:p>
        </w:tc>
        <w:tc>
          <w:tcPr>
            <w:tcW w:type="dxa" w:w="1474"/>
            <w:shd w:val="clear" w:color="auto" w:fill="F2F6FA"/>
          </w:tcPr>
          <w:p>
            <w:r/>
            <w:r>
              <w:rPr>
                <w:sz w:val="17"/>
              </w:rPr>
              <w:t>EtihadWE; RAKEZ requires approval and certification where applicable</w:t>
            </w:r>
          </w:p>
        </w:tc>
        <w:tc>
          <w:tcPr>
            <w:tcW w:type="dxa" w:w="1361"/>
            <w:shd w:val="clear" w:color="auto" w:fill="F2F6FA"/>
          </w:tcPr>
          <w:p>
            <w:r/>
            <w:r>
              <w:rPr>
                <w:sz w:val="17"/>
              </w:rPr>
              <w:t>Environment Protection and Development Authority (EPDA)</w:t>
            </w:r>
          </w:p>
        </w:tc>
        <w:tc>
          <w:tcPr>
            <w:tcW w:type="dxa" w:w="1304"/>
            <w:shd w:val="clear" w:color="auto" w:fill="F2F6FA"/>
          </w:tcPr>
          <w:p>
            <w:r/>
            <w:r>
              <w:rPr>
                <w:sz w:val="17"/>
              </w:rPr>
              <w:t>National route 999 / 997 / 998; RAKEZ HS&amp;E directs calling RAK Civil Defence on 999 for spill, fire or gas emergency</w:t>
            </w:r>
          </w:p>
        </w:tc>
        <w:tc>
          <w:tcPr>
            <w:tcW w:type="dxa" w:w="1531"/>
            <w:shd w:val="clear" w:color="auto" w:fill="F2F6FA"/>
          </w:tcPr>
          <w:p>
            <w:r/>
            <w:r>
              <w:rPr>
                <w:sz w:val="17"/>
              </w:rPr>
              <w:t>Wadi and valley-mouth flash floods, mountain runoff and debris, steep slopes; coastal areas</w:t>
            </w:r>
          </w:p>
        </w:tc>
        <w:tc>
          <w:tcPr>
            <w:tcW w:type="dxa" w:w="2098"/>
            <w:shd w:val="clear" w:color="auto" w:fill="F2F6FA"/>
          </w:tcPr>
          <w:p>
            <w:r/>
            <w:r>
              <w:rPr>
                <w:sz w:val="17"/>
              </w:rPr>
              <w:t>RAK structural regulations; Sustainable Community Guidelines; PSD services; EPDA; RAKEZ HS&amp;E Regulations</w:t>
            </w:r>
          </w:p>
        </w:tc>
      </w:tr>
      <w:tr>
        <w:trPr>
          <w:cantSplit/>
        </w:trPr>
        <w:tc>
          <w:tcPr>
            <w:tcW w:type="dxa" w:w="1077"/>
          </w:tcPr>
          <w:p>
            <w:r/>
            <w:r>
              <w:rPr>
                <w:sz w:val="17"/>
              </w:rPr>
              <w:t>Fujairah</w:t>
            </w:r>
          </w:p>
        </w:tc>
        <w:tc>
          <w:tcPr>
            <w:tcW w:type="dxa" w:w="1928"/>
          </w:tcPr>
          <w:p>
            <w:r/>
            <w:r>
              <w:rPr>
                <w:sz w:val="17"/>
              </w:rPr>
              <w:t>Fujairah Municipality; PWAD for road, culvert and rainwater infrastructure; Free Zone and Port where applicable</w:t>
            </w:r>
          </w:p>
        </w:tc>
        <w:tc>
          <w:tcPr>
            <w:tcW w:type="dxa" w:w="1474"/>
          </w:tcPr>
          <w:p>
            <w:r/>
            <w:r>
              <w:rPr>
                <w:sz w:val="17"/>
              </w:rPr>
              <w:t>EtihadWE (800 3392) NOC, drawing approval and connection process</w:t>
            </w:r>
          </w:p>
        </w:tc>
        <w:tc>
          <w:tcPr>
            <w:tcW w:type="dxa" w:w="1361"/>
          </w:tcPr>
          <w:p>
            <w:r/>
            <w:r>
              <w:rPr>
                <w:sz w:val="17"/>
              </w:rPr>
              <w:t>Fujairah Environment Authority (FEA)</w:t>
            </w:r>
          </w:p>
        </w:tc>
        <w:tc>
          <w:tcPr>
            <w:tcW w:type="dxa" w:w="1304"/>
          </w:tcPr>
          <w:p>
            <w:r/>
            <w:r>
              <w:rPr>
                <w:sz w:val="17"/>
              </w:rPr>
              <w:t>999 Police / 997 Civil Defence / 998 ambulance / 996 coast guard / 995 search and rescue</w:t>
            </w:r>
          </w:p>
        </w:tc>
        <w:tc>
          <w:tcPr>
            <w:tcW w:type="dxa" w:w="1531"/>
          </w:tcPr>
          <w:p>
            <w:r/>
            <w:r>
              <w:rPr>
                <w:sz w:val="17"/>
              </w:rPr>
              <w:t>Hajar wadi flash flows, narrow coastal plain and backflow, port and marine weather</w:t>
            </w:r>
          </w:p>
        </w:tc>
        <w:tc>
          <w:tcPr>
            <w:tcW w:type="dxa" w:w="2098"/>
          </w:tcPr>
          <w:p>
            <w:r/>
            <w:r>
              <w:rPr>
                <w:sz w:val="17"/>
              </w:rPr>
              <w:t>NCM Fujairah radar and bulletins; PWAD; FEA groundwater and waste services; Port and Free Zone permits</w:t>
            </w:r>
          </w:p>
        </w:tc>
      </w:tr>
      <w:tr>
        <w:trPr>
          <w:cantSplit/>
        </w:trPr>
        <w:tc>
          <w:tcPr>
            <w:tcW w:type="dxa" w:w="1077"/>
            <w:shd w:val="clear" w:color="auto" w:fill="F2F6FA"/>
          </w:tcPr>
          <w:p>
            <w:r/>
            <w:r>
              <w:rPr>
                <w:sz w:val="17"/>
              </w:rPr>
              <w:t>Federal / all</w:t>
            </w:r>
          </w:p>
        </w:tc>
        <w:tc>
          <w:tcPr>
            <w:tcW w:type="dxa" w:w="1928"/>
            <w:shd w:val="clear" w:color="auto" w:fill="F2F6FA"/>
          </w:tcPr>
          <w:p>
            <w:r/>
            <w:r>
              <w:rPr>
                <w:sz w:val="17"/>
              </w:rPr>
              <w:t>NCEMA and the competent emirate Civil Defence; MoEI for federal roads, dams and drainage</w:t>
            </w:r>
          </w:p>
        </w:tc>
        <w:tc>
          <w:tcPr>
            <w:tcW w:type="dxa" w:w="1474"/>
            <w:shd w:val="clear" w:color="auto" w:fill="F2F6FA"/>
          </w:tcPr>
          <w:p>
            <w:r/>
            <w:r>
              <w:rPr>
                <w:sz w:val="17"/>
              </w:rPr>
              <w:t>NCM forecast and warning source; MoEI and emirate utilities for network status</w:t>
            </w:r>
          </w:p>
        </w:tc>
        <w:tc>
          <w:tcPr>
            <w:tcW w:type="dxa" w:w="1361"/>
            <w:shd w:val="clear" w:color="auto" w:fill="F2F6FA"/>
          </w:tcPr>
          <w:p>
            <w:r/>
            <w:r>
              <w:rPr>
                <w:sz w:val="17"/>
              </w:rPr>
              <w:t>MOCCAE framework plus the competent emirate authority</w:t>
            </w:r>
          </w:p>
        </w:tc>
        <w:tc>
          <w:tcPr>
            <w:tcW w:type="dxa" w:w="1304"/>
            <w:shd w:val="clear" w:color="auto" w:fill="F2F6FA"/>
          </w:tcPr>
          <w:p>
            <w:r/>
            <w:r>
              <w:rPr>
                <w:sz w:val="17"/>
              </w:rPr>
              <w:t>999 / 997 / 998, plus 996 coast guard, 995 search and rescue and 991 electricity failure</w:t>
            </w:r>
          </w:p>
        </w:tc>
        <w:tc>
          <w:tcPr>
            <w:tcW w:type="dxa" w:w="1531"/>
            <w:shd w:val="clear" w:color="auto" w:fill="F2F6FA"/>
          </w:tcPr>
          <w:p>
            <w:r/>
            <w:r>
              <w:rPr>
                <w:sz w:val="17"/>
              </w:rPr>
              <w:t>Extreme short-duration convective rain affecting any emirate, with national transport and utility disruption</w:t>
            </w:r>
          </w:p>
        </w:tc>
        <w:tc>
          <w:tcPr>
            <w:tcW w:type="dxa" w:w="2098"/>
            <w:shd w:val="clear" w:color="auto" w:fill="F2F6FA"/>
          </w:tcPr>
          <w:p>
            <w:r/>
            <w:r>
              <w:rPr>
                <w:sz w:val="17"/>
              </w:rPr>
              <w:t>NCM forecasts and warnings; NCEMA National Early Warning System; MOHRE weather circulars; labour accommodation standards</w:t>
            </w:r>
          </w:p>
        </w:tc>
      </w:tr>
    </w:tbl>
    <w:p/>
    <w:p>
      <w:pPr>
        <w:pStyle w:val="Heading2"/>
      </w:pPr>
      <w:r>
        <w:t>4. The ten domains that decide whether a site comes through the winter intact</w:t>
      </w:r>
    </w:p>
    <w:p>
      <w:r>
        <w:t>The 100-point checklist is organised into ten domains. Each domain below summarises what to watch for and the controls that matter most. The full item list, with rationale, authority reference and an audit column, is in the companion workbook.</w:t>
      </w:r>
    </w:p>
    <w:p>
      <w:pPr>
        <w:pStyle w:val="Heading3"/>
      </w:pPr>
      <w:r>
        <w:t>4.1 Governance, weather monitoring and competence</w:t>
      </w:r>
    </w:p>
    <w:p>
      <w:r>
        <w:t>Nothing else in this article works without a named decision-maker. Appoint a weather controller and a deputy for every shift, including nights, and give them written authority to escalate. Log the NCM forecast, warning colour, exact hazard wording, issue time and validity at defined intervals. Adopt an alert matrix - yellow for heightened checks, orange to activate the plan and reassess exposed work, red to stop or evacuate exposed work as conditions and official directions require - and label it clearly as a project control, because no current NCM English source defining construction-specific colour thresholds could be verified. Name an all-clear authority: supervisors must not restart work independently, because weather can stop long before ground, power and temporary works become safe. Finally, record site observations - water levels, pump status, ponding and access-road condition - next to the forecast. Local conditions, not the bulletin alone, decide when the site is unsafe.</w:t>
      </w:r>
    </w:p>
    <w:p>
      <w:pPr>
        <w:pStyle w:val="Heading3"/>
      </w:pPr>
      <w:r>
        <w:t>4.2 Drainage, flood defence and dewatering</w:t>
      </w:r>
    </w:p>
    <w:p>
      <w:r>
        <w:t>Start with a surveyed flood plan that shows contours, low points, overland flow routes, inlets, manholes, culverts, sumps and receiving points, and update it after every event. Verify approved tie-ins, outfalls and invert levels before any wet-season change; public drainage is not an implied construction discharge point. Test duty and standby pumps, float switches, generator backup, hoses, couplings and non-return valves before forecast rain, and provide protected, attended sumps with raised platforms and high-level alarms. The single most common regulatory exposure is discharge: separate clean runoff from silty excavation water, oily water, concrete washout and sewage, pass approved dirty water through settlement or filtration, sample uncharacterised water, and never discharge to storm drains, sewers, roads, wadis, beaches, marine water or neighbouring plots without written authorisation. In Dubai, Local Order No. 8 of 2002 Article 27 is explicit: construction or excavation water may not enter the rainwater network without a written permit controlling the pump, pipe, discharge point and sedimentation arrangement, and Article 29 requires pumping to stop if a basin leaks or infiltrates surrounding ground.</w:t>
      </w:r>
    </w:p>
    <w:p>
      <w:pPr>
        <w:pStyle w:val="Heading3"/>
      </w:pPr>
      <w:r>
        <w:t>4.3 Low-lying areas, excavations and ground conditions</w:t>
      </w:r>
    </w:p>
    <w:p>
      <w:r>
        <w:t>Water is a geotechnical event. Map and mark flood-sensitive zones - basements, ramps, lift pits, shafts, tunnels, low crossings and drainage depressions - and set no-entry triggers for standing or accumulating water, visible runoff, pump failure, sloughing, cracking, bulging or loss of access. Barricade flooded excavations and prohibit wading or driving to judge depth: floodwater conceals drop-offs, live services, contaminated water and unstable soil. Inspect faces, shoring, trench boxes, edges, ladders, spoil setbacks and adjacent structures before each shift and after every destabilising event, and obtain a geotechnical or temporary-works review before changing support, batter, haul road, working platform or dewatering arrangement after rain. Treat flooded shafts, manholes, tanks and storm drains as confined spaces, and never allow rescue entry into rising water. In Ras Al Khaimah, the structural regulations are specific: open-cut slopes follow the soil report and do not exceed 30 degrees unless an approved design permits otherwise, and where groundwater sits above formation it should be lowered at least 1 m below the target level. On wadi and mountain sites in Ras Al Khaimah, Fujairah and Al Ain, map the upstream catchment and keep laydown, parking and worker routes out of flow paths - runoff can arrive from a storm that never reached the plot.</w:t>
      </w:r>
    </w:p>
    <w:p>
      <w:pPr>
        <w:pStyle w:val="Heading3"/>
      </w:pPr>
      <w:r>
        <w:t>4.4 Electrical safety and temporary power</w:t>
      </w:r>
    </w:p>
    <w:p>
      <w:r>
        <w:t>Floodwater plus temporary electricity is the most immediate life-safety combination on any site. Maintain a controlled single-line diagram so circuits can be isolated quickly; elevate boards, generators, transformers, welders, joints and reels above credible ponding level; and use enclosures, couplers and cable routes suited to the actual wet exposure. Provide RCD, RCBO or GFCI protection, earthing and bonding, with recorded functional tests. In Abu Dhabi, ADOSH CoP 15.0 specifies temporary 110 V construction supplies and residual-current protection so far as reasonably practicable - treat that as an emirate and design control, not a national rule. When water reaches equipment, isolate, lock and tag, prove dead, and quarantine anything submerged. Drying is not a test: a competent electrician must record insulation, earthing, enclosure and downstream checks before re-energisation. Suspend exposed electrical work during lightning, take shelter away from metal and electrical contact, and inspect lightning protection and earthing after a suspected strike.</w:t>
      </w:r>
    </w:p>
    <w:p>
      <w:pPr>
        <w:pStyle w:val="Heading3"/>
      </w:pPr>
      <w:r>
        <w:t>4.5 Lifting, plant, scaffolding and temporary structures</w:t>
      </w:r>
    </w:p>
    <w:p>
      <w:r>
        <w:t>Wind limits are equipment, load and configuration specific, so every lift plan must state the manufacturer's limit, the crane configuration, the anemometer location and the alarm and stop levels. In Abu Dhabi, ADOSH CoP 34.0 requires anemometers, daily meteorological reports and cessation of lifting when recorded wind speed or gusts exceed 38 km/h (20.5 knots); elsewhere, apply the lowest of authority, manufacturer, lift-plan and design limits. Stop lifting immediately for lightning, unsafe visibility, uncontrolled load swing, flooded access or unstable ground, and secure cranes, hoists and MEWPs in the manufacturer-approved out-of-service configuration before conditions worsen. After rain, inspect crane foundations, rails, ties, anchors, brakes, outriggers, mats, hoists and accessories before release to service, and reassess ground-bearing capacity near excavations. For scaffolding, stop use when platforms are slippery or wind and visibility make access unsafe, never move mobile towers in wind, and record post-storm inspections with location, date and time, findings, inspector and design reference - ADOSH CoP 26.0 requires retained weather-event records, not a verbal release. Port and terminal operations in Fujairah carry their own published marine limits, which must not be generalised to land construction.</w:t>
      </w:r>
    </w:p>
    <w:p>
      <w:pPr>
        <w:pStyle w:val="Heading3"/>
      </w:pPr>
      <w:r>
        <w:t>4.6 Materials, storage and contamination control</w:t>
      </w:r>
    </w:p>
    <w:p>
      <w:r>
        <w:t>Rain converts stored materials into pollutants. Keep cement, gypsum, insulation, timber and electrical components covered and above flood level; quarantine anything wet, contaminated or chemically incompatible; and place fuels, oils, paints, solvents and chemicals in roofed, labelled, compatible secondary containment above ponding level, with bund drains kept closed and accumulated bund water treated as potentially contaminated. Dubai Local Order No. 8 of 2002 Article 28 expressly requires oil-absorbent protection under pumps, alongside secure pipes, sand traps, supervision and fencing. Keep spill kits, drain covers and absorbents at every fuel, workshop, chemical, generator and pump location, and use a lined, bunded and signed concrete washout with capacity for planned pours. Cover and secure skips, packaging, sheets, rebar bundles, cylinders, formwork and hoardings, and segregate construction and demolition, hazardous, oil, sewage and general waste in labelled containers with manifests and receiving tickets retained.</w:t>
      </w:r>
    </w:p>
    <w:p>
      <w:pPr>
        <w:pStyle w:val="Heading3"/>
      </w:pPr>
      <w:r>
        <w:t>4.7 Welfare, accommodation and worker health</w:t>
      </w:r>
    </w:p>
    <w:p>
      <w:r>
        <w:t>Welfare fails early in a storm, and it fails in ways that generate health incidents rather than property damage. Inspect accommodation roofs, drainage, electrical rooms, exits, fire systems and access paths before and after rain, and keep accommodation away from rainwater drainage channels with emergency exits clear. Protect potable-water tanks, hose ends, dispensers and fill points from floodwater, chemicals and backflow; if contamination is suspected, isolate the supply, disinfect, sample and provide sealed alternative drinking water until results clear it. Inspect toilets, septic and holding tanks, sewage pumps and hoses for overflow, and maintain high-level alarms and tanker contingency, because sewage must never enter stormwater. Protect kitchens, food stores and food-contact materials, discard flood-exposed food, and re-verify refrigeration, temperature records, handwashing water and pest activity after the event. Remove standing water and arrange approved pest management; the post-April 2024 campaign in Dubai disinfected 102 water-collection sites and more than 75,000 drainage outlets for exactly this reason.</w:t>
      </w:r>
    </w:p>
    <w:p>
      <w:pPr>
        <w:pStyle w:val="Heading3"/>
      </w:pPr>
      <w:r>
        <w:t>4.8 Environmental protection and pollution prevention</w:t>
      </w:r>
    </w:p>
    <w:p>
      <w:r>
        <w:t>Environmental exposure during rain is a question of receptors and permits. Map drains, wadis, groundwater, beaches, mangroves, tidal channels, outfalls and protected areas as sensitive receptors, and set marked no-go buffers around mangroves, tidal channels, seagrass, coast and protected habitats - avoidance of mature mangrove impact is the stated priority in Environment Agency - Abu Dhabi guidance, and permits are required before any intervention. Never treat a dewatering NOC as permission for sewage, oily water, concrete washout or contaminated groundwater; a discharge approval covers a defined source, route and set of controls. Classify water by source and risk, sample uncharacterised water and soil using parameters informed by site history, and stop, cordon and notify the environmental manager if stained soil, unusual odour, buried waste, asbestos-like material or unusual groundwater appears. Inspect bunds, silt controls, stockpiles, washout, skips and drains before a forecast event and after every storm, use licensed waste routes with records retained, and never push silt, waste or flood debris into public drainage, wadis or coastal areas during clean-up.</w:t>
      </w:r>
    </w:p>
    <w:p>
      <w:pPr>
        <w:pStyle w:val="Heading3"/>
      </w:pPr>
      <w:r>
        <w:t>4.9 Emergency response and communication</w:t>
      </w:r>
    </w:p>
    <w:p>
      <w:r>
        <w:t>Post emergency numbers, site coordinates (Makani or GPS), gate directions, site hazards and a caller script at the gate, control room and welfare areas. Use 999 Police, 997 Civil Defence and 998 ambulance nationally unless the local or free-zone authority directs otherwise, and never delay a life-safety call while resolving a jurisdiction question. Keep an all-weather emergency-access route, a clear gate, visible fire points and elevated muster areas outside flood paths, and activate headcount, radio checks and subcontractor roll-call whenever work stops. Prohibit driving or walking through rising water, flood barriers, wadis, torrents or closed roads: depth, current, washout and electrical hazards are not reliably visible, and the April 2024 response required 635 search-and-rescue calls and 139 rescues despite an enormous official mobilisation.</w:t>
      </w:r>
    </w:p>
    <w:p>
      <w:pPr>
        <w:pStyle w:val="Heading3"/>
      </w:pPr>
      <w:r>
        <w:t>4.10 Recovery, reinstatement and assurance</w:t>
      </w:r>
    </w:p>
    <w:p>
      <w:r>
        <w:t>Recovery is where discipline usually breaks down. Maintain exclusion zones and conduct a documented progressive re-entry rather than a blanket restart, because electrical, structural, contamination and ground hazards recover at different rates. Obtain competent documented release for excavations and slopes, electrical systems, lifting plant, scaffolds and temporary works before restart; elapsed time and a clear sky are not technical acceptances. Inspect roads, drainage, utilities, accommodation, potable water, sewage, fire systems and environmental controls before reopening. Photograph and map water levels, damaged assets, blocked drains, spills and discharge routes before clean-up, notify the insurer and contract administrator promptly, and log alerts, pump hours, stoppages, mitigation costs and approvals - contemporaneous records are what distinguish extreme-weather loss from maintenance or temporary-works failure. Finally, remove contaminated silt and waste through approved routes, repair erosion, reinstate drainage, test water systems, and run an after-action review that updates the flood map, trigger matrix, contacts, designs and drills.</w:t>
      </w:r>
    </w:p>
    <w:p>
      <w:pPr>
        <w:pStyle w:val="Heading2"/>
      </w:pPr>
      <w:r>
        <w:t>5. Thresholds and triggers: what actually stops work</w:t>
      </w:r>
    </w:p>
    <w:p>
      <w:r>
        <w:t>UAE requirements rarely reduce to a single rainfall number, and no verified national rainfall threshold exists. The practical approach is a hierarchy. Apply the highest level that is triggered, and never let a numeric threshold delay an obvious stop.</w:t>
      </w:r>
    </w:p>
    <w:p>
      <w:r>
        <w:rPr>
          <w:b/>
          <w:color w:val="0F2C4C"/>
          <w:sz w:val="19"/>
        </w:rPr>
        <w:t>Stop-work trigger hierarchy</w:t>
      </w:r>
    </w:p>
    <w:tbl>
      <w:tblPr>
        <w:tblStyle w:val="TableGrid"/>
        <w:tblW w:type="auto" w:w="0"/>
        <w:jc w:val="center"/>
        <w:tblLook w:firstColumn="1" w:firstRow="1" w:lastColumn="0" w:lastRow="0" w:noHBand="0" w:noVBand="1" w:val="04A0"/>
        <w:tblLayout w:type="fixed"/>
      </w:tblPr>
      <w:tblGrid>
        <w:gridCol w:w="680"/>
        <w:gridCol w:w="1928"/>
        <w:gridCol w:w="4196"/>
        <w:gridCol w:w="2268"/>
      </w:tblGrid>
      <w:tr>
        <w:trPr>
          <w:cantSplit/>
        </w:trPr>
        <w:tc>
          <w:tcPr>
            <w:tcW w:type="dxa" w:w="680"/>
            <w:shd w:val="clear" w:color="auto" w:fill="126E6E"/>
          </w:tcPr>
          <w:p>
            <w:r/>
            <w:r>
              <w:rPr>
                <w:b/>
                <w:color w:val="FFFFFF"/>
                <w:sz w:val="17"/>
              </w:rPr>
              <w:t>Level</w:t>
            </w:r>
          </w:p>
        </w:tc>
        <w:tc>
          <w:tcPr>
            <w:tcW w:type="dxa" w:w="1928"/>
            <w:shd w:val="clear" w:color="auto" w:fill="126E6E"/>
          </w:tcPr>
          <w:p>
            <w:r/>
            <w:r>
              <w:rPr>
                <w:b/>
                <w:color w:val="FFFFFF"/>
                <w:sz w:val="17"/>
              </w:rPr>
              <w:t>Trigger class</w:t>
            </w:r>
          </w:p>
        </w:tc>
        <w:tc>
          <w:tcPr>
            <w:tcW w:type="dxa" w:w="4195"/>
            <w:shd w:val="clear" w:color="auto" w:fill="126E6E"/>
          </w:tcPr>
          <w:p>
            <w:r/>
            <w:r>
              <w:rPr>
                <w:b/>
                <w:color w:val="FFFFFF"/>
                <w:sz w:val="17"/>
              </w:rPr>
              <w:t>What it covers</w:t>
            </w:r>
          </w:p>
        </w:tc>
        <w:tc>
          <w:tcPr>
            <w:tcW w:type="dxa" w:w="2268"/>
            <w:shd w:val="clear" w:color="auto" w:fill="126E6E"/>
          </w:tcPr>
          <w:p>
            <w:r/>
            <w:r>
              <w:rPr>
                <w:b/>
                <w:color w:val="FFFFFF"/>
                <w:sz w:val="17"/>
              </w:rPr>
              <w:t>Basis</w:t>
            </w:r>
          </w:p>
        </w:tc>
      </w:tr>
      <w:tr>
        <w:trPr>
          <w:cantSplit/>
        </w:trPr>
        <w:tc>
          <w:tcPr>
            <w:tcW w:type="dxa" w:w="680"/>
          </w:tcPr>
          <w:p>
            <w:r/>
            <w:r>
              <w:rPr>
                <w:sz w:val="17"/>
              </w:rPr>
              <w:t>1</w:t>
            </w:r>
          </w:p>
        </w:tc>
        <w:tc>
          <w:tcPr>
            <w:tcW w:type="dxa" w:w="1928"/>
          </w:tcPr>
          <w:p>
            <w:r/>
            <w:r>
              <w:rPr>
                <w:sz w:val="17"/>
              </w:rPr>
              <w:t>Immediate stop or evacuate</w:t>
            </w:r>
          </w:p>
        </w:tc>
        <w:tc>
          <w:tcPr>
            <w:tcW w:type="dxa" w:w="4195"/>
          </w:tcPr>
          <w:p>
            <w:r/>
            <w:r>
              <w:rPr>
                <w:sz w:val="17"/>
              </w:rPr>
              <w:t>Observed lightning; rising or flowing water; unsafe access; failing pumps; standing or accumulating water in the workface; ground movement; uncontrolled load; or any official direction.</w:t>
            </w:r>
          </w:p>
        </w:tc>
        <w:tc>
          <w:tcPr>
            <w:tcW w:type="dxa" w:w="2268"/>
          </w:tcPr>
          <w:p>
            <w:r/>
            <w:r>
              <w:rPr>
                <w:sz w:val="17"/>
              </w:rPr>
              <w:t>NCEMA emergency guidance; OSHA 2226; HSE excavation guidance</w:t>
            </w:r>
          </w:p>
        </w:tc>
      </w:tr>
      <w:tr>
        <w:trPr>
          <w:cantSplit/>
        </w:trPr>
        <w:tc>
          <w:tcPr>
            <w:tcW w:type="dxa" w:w="680"/>
            <w:shd w:val="clear" w:color="auto" w:fill="F2F6FA"/>
          </w:tcPr>
          <w:p>
            <w:r/>
            <w:r>
              <w:rPr>
                <w:sz w:val="17"/>
              </w:rPr>
              <w:t>2</w:t>
            </w:r>
          </w:p>
        </w:tc>
        <w:tc>
          <w:tcPr>
            <w:tcW w:type="dxa" w:w="1928"/>
            <w:shd w:val="clear" w:color="auto" w:fill="F2F6FA"/>
          </w:tcPr>
          <w:p>
            <w:r/>
            <w:r>
              <w:rPr>
                <w:sz w:val="17"/>
              </w:rPr>
              <w:t>Numeric, authority-specific values</w:t>
            </w:r>
          </w:p>
        </w:tc>
        <w:tc>
          <w:tcPr>
            <w:tcW w:type="dxa" w:w="4195"/>
            <w:shd w:val="clear" w:color="auto" w:fill="F2F6FA"/>
          </w:tcPr>
          <w:p>
            <w:r/>
            <w:r>
              <w:rPr>
                <w:sz w:val="17"/>
              </w:rPr>
              <w:t>Apply only within the stated jurisdiction and scope: ADOSH 38 km/h lifting in Abu Dhabi; RAK 30-degree slopes and 1 m dewatering; Fujairah terminal marine limits.</w:t>
            </w:r>
          </w:p>
        </w:tc>
        <w:tc>
          <w:tcPr>
            <w:tcW w:type="dxa" w:w="2268"/>
            <w:shd w:val="clear" w:color="auto" w:fill="F2F6FA"/>
          </w:tcPr>
          <w:p>
            <w:r/>
            <w:r>
              <w:rPr>
                <w:sz w:val="17"/>
              </w:rPr>
              <w:t>ADOSH CoP 34.0; RAK structural regulations; Port of Fujairah NM 148 v6</w:t>
            </w:r>
          </w:p>
        </w:tc>
      </w:tr>
      <w:tr>
        <w:trPr>
          <w:cantSplit/>
        </w:trPr>
        <w:tc>
          <w:tcPr>
            <w:tcW w:type="dxa" w:w="680"/>
          </w:tcPr>
          <w:p>
            <w:r/>
            <w:r>
              <w:rPr>
                <w:sz w:val="17"/>
              </w:rPr>
              <w:t>3</w:t>
            </w:r>
          </w:p>
        </w:tc>
        <w:tc>
          <w:tcPr>
            <w:tcW w:type="dxa" w:w="1928"/>
          </w:tcPr>
          <w:p>
            <w:r/>
            <w:r>
              <w:rPr>
                <w:sz w:val="17"/>
              </w:rPr>
              <w:t>Equipment and design values</w:t>
            </w:r>
          </w:p>
        </w:tc>
        <w:tc>
          <w:tcPr>
            <w:tcW w:type="dxa" w:w="4195"/>
          </w:tcPr>
          <w:p>
            <w:r/>
            <w:r>
              <w:rPr>
                <w:sz w:val="17"/>
              </w:rPr>
              <w:t>Crane and hoist manufacturer limits, lift plans, temporary-works and geotechnical design, and permit conditions prevail where stricter.</w:t>
            </w:r>
          </w:p>
        </w:tc>
        <w:tc>
          <w:tcPr>
            <w:tcW w:type="dxa" w:w="2268"/>
          </w:tcPr>
          <w:p>
            <w:r/>
            <w:r>
              <w:rPr>
                <w:sz w:val="17"/>
              </w:rPr>
              <w:t>HSE lifting guidance; HSE excavation guidance</w:t>
            </w:r>
          </w:p>
        </w:tc>
      </w:tr>
      <w:tr>
        <w:trPr>
          <w:cantSplit/>
        </w:trPr>
        <w:tc>
          <w:tcPr>
            <w:tcW w:type="dxa" w:w="680"/>
            <w:shd w:val="clear" w:color="auto" w:fill="F2F6FA"/>
          </w:tcPr>
          <w:p>
            <w:r/>
            <w:r>
              <w:rPr>
                <w:sz w:val="17"/>
              </w:rPr>
              <w:t>4</w:t>
            </w:r>
          </w:p>
        </w:tc>
        <w:tc>
          <w:tcPr>
            <w:tcW w:type="dxa" w:w="1928"/>
            <w:shd w:val="clear" w:color="auto" w:fill="F2F6FA"/>
          </w:tcPr>
          <w:p>
            <w:r/>
            <w:r>
              <w:rPr>
                <w:sz w:val="17"/>
              </w:rPr>
              <w:t>Project action levels</w:t>
            </w:r>
          </w:p>
        </w:tc>
        <w:tc>
          <w:tcPr>
            <w:tcW w:type="dxa" w:w="4195"/>
            <w:shd w:val="clear" w:color="auto" w:fill="F2F6FA"/>
          </w:tcPr>
          <w:p>
            <w:r/>
            <w:r>
              <w:rPr>
                <w:sz w:val="17"/>
              </w:rPr>
              <w:t>Site governance values may be more conservative but must be labelled as project values and reviewed after every event.</w:t>
            </w:r>
          </w:p>
        </w:tc>
        <w:tc>
          <w:tcPr>
            <w:tcW w:type="dxa" w:w="2268"/>
            <w:shd w:val="clear" w:color="auto" w:fill="F2F6FA"/>
          </w:tcPr>
          <w:p>
            <w:r/>
            <w:r>
              <w:rPr>
                <w:sz w:val="17"/>
              </w:rPr>
              <w:t>CIRIA SuDS construction guidance; NCEMA business continuity guidance</w:t>
            </w:r>
          </w:p>
        </w:tc>
      </w:tr>
    </w:tbl>
    <w:p/>
    <w:p>
      <w:r>
        <w:rPr>
          <w:b/>
          <w:color w:val="0F2C4C"/>
          <w:sz w:val="19"/>
        </w:rPr>
        <w:t>Verified thresholds, duties and reporting obligations</w:t>
      </w:r>
    </w:p>
    <w:tbl>
      <w:tblPr>
        <w:tblStyle w:val="TableGrid"/>
        <w:tblW w:type="auto" w:w="0"/>
        <w:jc w:val="center"/>
        <w:tblLook w:firstColumn="1" w:firstRow="1" w:lastColumn="0" w:lastRow="0" w:noHBand="0" w:noVBand="1" w:val="04A0"/>
        <w:tblLayout w:type="fixed"/>
      </w:tblPr>
      <w:tblGrid>
        <w:gridCol w:w="1701"/>
        <w:gridCol w:w="4309"/>
        <w:gridCol w:w="3062"/>
      </w:tblGrid>
      <w:tr>
        <w:trPr>
          <w:cantSplit/>
        </w:trPr>
        <w:tc>
          <w:tcPr>
            <w:tcW w:type="dxa" w:w="1701"/>
            <w:shd w:val="clear" w:color="auto" w:fill="126E6E"/>
          </w:tcPr>
          <w:p>
            <w:r/>
            <w:r>
              <w:rPr>
                <w:b/>
                <w:color w:val="FFFFFF"/>
                <w:sz w:val="17"/>
              </w:rPr>
              <w:t>Topic</w:t>
            </w:r>
          </w:p>
        </w:tc>
        <w:tc>
          <w:tcPr>
            <w:tcW w:type="dxa" w:w="4309"/>
            <w:shd w:val="clear" w:color="auto" w:fill="126E6E"/>
          </w:tcPr>
          <w:p>
            <w:r/>
            <w:r>
              <w:rPr>
                <w:b/>
                <w:color w:val="FFFFFF"/>
                <w:sz w:val="17"/>
              </w:rPr>
              <w:t>Verified requirement</w:t>
            </w:r>
          </w:p>
        </w:tc>
        <w:tc>
          <w:tcPr>
            <w:tcW w:type="dxa" w:w="3061"/>
            <w:shd w:val="clear" w:color="auto" w:fill="126E6E"/>
          </w:tcPr>
          <w:p>
            <w:r/>
            <w:r>
              <w:rPr>
                <w:b/>
                <w:color w:val="FFFFFF"/>
                <w:sz w:val="17"/>
              </w:rPr>
              <w:t>Required action</w:t>
            </w:r>
          </w:p>
        </w:tc>
      </w:tr>
      <w:tr>
        <w:trPr>
          <w:cantSplit/>
        </w:trPr>
        <w:tc>
          <w:tcPr>
            <w:tcW w:type="dxa" w:w="1701"/>
          </w:tcPr>
          <w:p>
            <w:r/>
            <w:r>
              <w:rPr>
                <w:sz w:val="17"/>
              </w:rPr>
              <w:t>Exceptional weather and attendance</w:t>
            </w:r>
          </w:p>
        </w:tc>
        <w:tc>
          <w:tcPr>
            <w:tcW w:type="dxa" w:w="4309"/>
          </w:tcPr>
          <w:p>
            <w:r/>
            <w:r>
              <w:rPr>
                <w:sz w:val="17"/>
              </w:rPr>
              <w:t>MOHRE urges necessary OSH measures, remote work where feasible and compliance with local directions. Cabinet Resolution No. 1 of 2022, Article 15 treats qualifying weather and NCM-warning transit delay as working time.</w:t>
            </w:r>
          </w:p>
        </w:tc>
        <w:tc>
          <w:tcPr>
            <w:tcW w:type="dxa" w:w="3061"/>
          </w:tcPr>
          <w:p>
            <w:r/>
            <w:r>
              <w:rPr>
                <w:sz w:val="17"/>
              </w:rPr>
              <w:t>Do not pressure unsafe travel; document the alert, the task decision and any qualifying delay.</w:t>
            </w:r>
          </w:p>
        </w:tc>
      </w:tr>
      <w:tr>
        <w:trPr>
          <w:cantSplit/>
        </w:trPr>
        <w:tc>
          <w:tcPr>
            <w:tcW w:type="dxa" w:w="1701"/>
            <w:shd w:val="clear" w:color="auto" w:fill="F2F6FA"/>
          </w:tcPr>
          <w:p>
            <w:r/>
            <w:r>
              <w:rPr>
                <w:sz w:val="17"/>
              </w:rPr>
              <w:t>Abu Dhabi lifting wind</w:t>
            </w:r>
          </w:p>
        </w:tc>
        <w:tc>
          <w:tcPr>
            <w:tcW w:type="dxa" w:w="4309"/>
            <w:shd w:val="clear" w:color="auto" w:fill="F2F6FA"/>
          </w:tcPr>
          <w:p>
            <w:r/>
            <w:r>
              <w:rPr>
                <w:sz w:val="17"/>
              </w:rPr>
              <w:t>ADOSH CoP 34.0: anemometers, daily meteorological reports, manufacturer wind-off limits, and cessation at recorded wind speed or gusts above 38 km/h (20.5 knots).</w:t>
            </w:r>
          </w:p>
        </w:tc>
        <w:tc>
          <w:tcPr>
            <w:tcW w:type="dxa" w:w="3061"/>
            <w:shd w:val="clear" w:color="auto" w:fill="F2F6FA"/>
          </w:tcPr>
          <w:p>
            <w:r/>
            <w:r>
              <w:rPr>
                <w:sz w:val="17"/>
              </w:rPr>
              <w:t>Make the lowest of code, manufacturer, lift plan and design limit controlling.</w:t>
            </w:r>
          </w:p>
        </w:tc>
      </w:tr>
      <w:tr>
        <w:trPr>
          <w:cantSplit/>
        </w:trPr>
        <w:tc>
          <w:tcPr>
            <w:tcW w:type="dxa" w:w="1701"/>
          </w:tcPr>
          <w:p>
            <w:r/>
            <w:r>
              <w:rPr>
                <w:sz w:val="17"/>
              </w:rPr>
              <w:t>Abu Dhabi excavation and discharge</w:t>
            </w:r>
          </w:p>
        </w:tc>
        <w:tc>
          <w:tcPr>
            <w:tcW w:type="dxa" w:w="4309"/>
          </w:tcPr>
          <w:p>
            <w:r/>
            <w:r>
              <w:rPr>
                <w:sz w:val="17"/>
              </w:rPr>
              <w:t>ADOSH CoP 29.0: no direct pumping of dirty or silty water to drains; inspection before and during each shift, weekly, and after collapse or damage.</w:t>
            </w:r>
          </w:p>
        </w:tc>
        <w:tc>
          <w:tcPr>
            <w:tcW w:type="dxa" w:w="3061"/>
          </w:tcPr>
          <w:p>
            <w:r/>
            <w:r>
              <w:rPr>
                <w:sz w:val="17"/>
              </w:rPr>
              <w:t>Use treatment or approved disposal and obtain competent reinspection after rain.</w:t>
            </w:r>
          </w:p>
        </w:tc>
      </w:tr>
      <w:tr>
        <w:trPr>
          <w:cantSplit/>
        </w:trPr>
        <w:tc>
          <w:tcPr>
            <w:tcW w:type="dxa" w:w="1701"/>
            <w:shd w:val="clear" w:color="auto" w:fill="F2F6FA"/>
          </w:tcPr>
          <w:p>
            <w:r/>
            <w:r>
              <w:rPr>
                <w:sz w:val="17"/>
              </w:rPr>
              <w:t>Abu Dhabi temporary power</w:t>
            </w:r>
          </w:p>
        </w:tc>
        <w:tc>
          <w:tcPr>
            <w:tcW w:type="dxa" w:w="4309"/>
            <w:shd w:val="clear" w:color="auto" w:fill="F2F6FA"/>
          </w:tcPr>
          <w:p>
            <w:r/>
            <w:r>
              <w:rPr>
                <w:sz w:val="17"/>
              </w:rPr>
              <w:t>ADOSH CoP 15.0: 110 V temporary construction supplies and residual-current protection so far as reasonably practicable.</w:t>
            </w:r>
          </w:p>
        </w:tc>
        <w:tc>
          <w:tcPr>
            <w:tcW w:type="dxa" w:w="3061"/>
            <w:shd w:val="clear" w:color="auto" w:fill="F2F6FA"/>
          </w:tcPr>
          <w:p>
            <w:r/>
            <w:r>
              <w:rPr>
                <w:sz w:val="17"/>
              </w:rPr>
              <w:t>Apply within Abu Dhabi; do not assume it is a national rule.</w:t>
            </w:r>
          </w:p>
        </w:tc>
      </w:tr>
      <w:tr>
        <w:trPr>
          <w:cantSplit/>
        </w:trPr>
        <w:tc>
          <w:tcPr>
            <w:tcW w:type="dxa" w:w="1701"/>
          </w:tcPr>
          <w:p>
            <w:r/>
            <w:r>
              <w:rPr>
                <w:sz w:val="17"/>
              </w:rPr>
              <w:t>Dubai dewatering</w:t>
            </w:r>
          </w:p>
        </w:tc>
        <w:tc>
          <w:tcPr>
            <w:tcW w:type="dxa" w:w="4309"/>
          </w:tcPr>
          <w:p>
            <w:r/>
            <w:r>
              <w:rPr>
                <w:sz w:val="17"/>
              </w:rPr>
              <w:t>Local Order No. 8 of 2002 Article 27: written permit required before construction or excavation water enters the rainwater network; Article 28 safeguards; Article 29 suspension on basin leakage.</w:t>
            </w:r>
          </w:p>
        </w:tc>
        <w:tc>
          <w:tcPr>
            <w:tcW w:type="dxa" w:w="3061"/>
          </w:tcPr>
          <w:p>
            <w:r/>
            <w:r>
              <w:rPr>
                <w:sz w:val="17"/>
              </w:rPr>
              <w:t>Keep the permit at site and match installed pumps, pipes, points and tanks to the approval.</w:t>
            </w:r>
          </w:p>
        </w:tc>
      </w:tr>
      <w:tr>
        <w:trPr>
          <w:cantSplit/>
        </w:trPr>
        <w:tc>
          <w:tcPr>
            <w:tcW w:type="dxa" w:w="1701"/>
            <w:shd w:val="clear" w:color="auto" w:fill="F2F6FA"/>
          </w:tcPr>
          <w:p>
            <w:r/>
            <w:r>
              <w:rPr>
                <w:sz w:val="17"/>
              </w:rPr>
              <w:t>Dubai design context</w:t>
            </w:r>
          </w:p>
        </w:tc>
        <w:tc>
          <w:tcPr>
            <w:tcW w:type="dxa" w:w="4309"/>
            <w:shd w:val="clear" w:color="auto" w:fill="F2F6FA"/>
          </w:tcPr>
          <w:p>
            <w:r/>
            <w:r>
              <w:rPr>
                <w:sz w:val="17"/>
              </w:rPr>
              <w:t>Dubai Building Code 2021: minimum +300 mm gate level or 2-5% slope from road edge to plot access, elevated building ground, drained hard vehicle areas, and rainwater drainage to ramps.</w:t>
            </w:r>
          </w:p>
        </w:tc>
        <w:tc>
          <w:tcPr>
            <w:tcW w:type="dxa" w:w="3061"/>
            <w:shd w:val="clear" w:color="auto" w:fill="F2F6FA"/>
          </w:tcPr>
          <w:p>
            <w:r/>
            <w:r>
              <w:rPr>
                <w:sz w:val="17"/>
              </w:rPr>
              <w:t>Confirm project applicability; it does not replace drainage design or NOC conditions.</w:t>
            </w:r>
          </w:p>
        </w:tc>
      </w:tr>
      <w:tr>
        <w:trPr>
          <w:cantSplit/>
        </w:trPr>
        <w:tc>
          <w:tcPr>
            <w:tcW w:type="dxa" w:w="1701"/>
          </w:tcPr>
          <w:p>
            <w:r/>
            <w:r>
              <w:rPr>
                <w:sz w:val="17"/>
              </w:rPr>
              <w:t>Ras Al Khaimah excavation and groundwater</w:t>
            </w:r>
          </w:p>
        </w:tc>
        <w:tc>
          <w:tcPr>
            <w:tcW w:type="dxa" w:w="4309"/>
          </w:tcPr>
          <w:p>
            <w:r/>
            <w:r>
              <w:rPr>
                <w:sz w:val="17"/>
              </w:rPr>
              <w:t>Structural regulations: open cuts follow the soil report and do not exceed 30 degrees; groundwater lowered at least 1 m below target formation where above it.</w:t>
            </w:r>
          </w:p>
        </w:tc>
        <w:tc>
          <w:tcPr>
            <w:tcW w:type="dxa" w:w="3061"/>
          </w:tcPr>
          <w:p>
            <w:r/>
            <w:r>
              <w:rPr>
                <w:sz w:val="17"/>
              </w:rPr>
              <w:t>Reflect these in the design and permit and retain post-rain release records.</w:t>
            </w:r>
          </w:p>
        </w:tc>
      </w:tr>
      <w:tr>
        <w:trPr>
          <w:cantSplit/>
        </w:trPr>
        <w:tc>
          <w:tcPr>
            <w:tcW w:type="dxa" w:w="1701"/>
            <w:shd w:val="clear" w:color="auto" w:fill="F2F6FA"/>
          </w:tcPr>
          <w:p>
            <w:r/>
            <w:r>
              <w:rPr>
                <w:sz w:val="17"/>
              </w:rPr>
              <w:t>Fujairah marine limits</w:t>
            </w:r>
          </w:p>
        </w:tc>
        <w:tc>
          <w:tcPr>
            <w:tcW w:type="dxa" w:w="4309"/>
            <w:shd w:val="clear" w:color="auto" w:fill="F2F6FA"/>
          </w:tcPr>
          <w:p>
            <w:r/>
            <w:r>
              <w:rPr>
                <w:sz w:val="17"/>
              </w:rPr>
              <w:t>Port notice NM 148 v6 for ADNOC Onshore Fujairah Terminal: suspend berthing at 25 knots or 6 ft waves; loading at 35 knots or 9 ft; disconnect and unberth at 40 knots or 10 ft.</w:t>
            </w:r>
          </w:p>
        </w:tc>
        <w:tc>
          <w:tcPr>
            <w:tcW w:type="dxa" w:w="3061"/>
            <w:shd w:val="clear" w:color="auto" w:fill="F2F6FA"/>
          </w:tcPr>
          <w:p>
            <w:r/>
            <w:r>
              <w:rPr>
                <w:sz w:val="17"/>
              </w:rPr>
              <w:t>Terminal-specific only; do not generalise to land construction or other cranes.</w:t>
            </w:r>
          </w:p>
        </w:tc>
      </w:tr>
      <w:tr>
        <w:trPr>
          <w:cantSplit/>
        </w:trPr>
        <w:tc>
          <w:tcPr>
            <w:tcW w:type="dxa" w:w="1701"/>
          </w:tcPr>
          <w:p>
            <w:r/>
            <w:r>
              <w:rPr>
                <w:sz w:val="17"/>
              </w:rPr>
              <w:t>Water quality and pollution reporting</w:t>
            </w:r>
          </w:p>
        </w:tc>
        <w:tc>
          <w:tcPr>
            <w:tcW w:type="dxa" w:w="4309"/>
          </w:tcPr>
          <w:p>
            <w:r/>
            <w:r>
              <w:rPr>
                <w:sz w:val="17"/>
              </w:rPr>
              <w:t>Abu Dhabi DoE Water Quality Regulations 2025 require sampling where a source may be unsafe and reporting of water-quality incidents and non-compliance for applicable regulated entities.</w:t>
            </w:r>
          </w:p>
        </w:tc>
        <w:tc>
          <w:tcPr>
            <w:tcW w:type="dxa" w:w="3061"/>
          </w:tcPr>
          <w:p>
            <w:r/>
            <w:r>
              <w:rPr>
                <w:sz w:val="17"/>
              </w:rPr>
              <w:t>Follow the permit and regulator route immediately and retain samples, logs and corrective actions.</w:t>
            </w:r>
          </w:p>
        </w:tc>
      </w:tr>
      <w:tr>
        <w:trPr>
          <w:cantSplit/>
        </w:trPr>
        <w:tc>
          <w:tcPr>
            <w:tcW w:type="dxa" w:w="1701"/>
            <w:shd w:val="clear" w:color="auto" w:fill="F2F6FA"/>
          </w:tcPr>
          <w:p>
            <w:r/>
            <w:r>
              <w:rPr>
                <w:sz w:val="17"/>
              </w:rPr>
              <w:t>Injury reporting</w:t>
            </w:r>
          </w:p>
        </w:tc>
        <w:tc>
          <w:tcPr>
            <w:tcW w:type="dxa" w:w="4309"/>
            <w:shd w:val="clear" w:color="auto" w:fill="F2F6FA"/>
          </w:tcPr>
          <w:p>
            <w:r/>
            <w:r>
              <w:rPr>
                <w:sz w:val="17"/>
              </w:rPr>
              <w:t>UAE guidance indicates the employer notifies MOHRE of a workplace injury or death within 24 hours.</w:t>
            </w:r>
          </w:p>
        </w:tc>
        <w:tc>
          <w:tcPr>
            <w:tcW w:type="dxa" w:w="3061"/>
            <w:shd w:val="clear" w:color="auto" w:fill="F2F6FA"/>
          </w:tcPr>
          <w:p>
            <w:r/>
            <w:r>
              <w:rPr>
                <w:sz w:val="17"/>
              </w:rPr>
              <w:t>Include the MOHRE notification route in the incident plan and verify the current procedure before an event.</w:t>
            </w:r>
          </w:p>
        </w:tc>
      </w:tr>
    </w:tbl>
    <w:p/>
    <w:p>
      <w:pPr>
        <w:pStyle w:val="Heading2"/>
      </w:pPr>
      <w:r>
        <w:t>6. Contamination and environmental concerns: the question of what could end up polluted</w:t>
      </w:r>
    </w:p>
    <w:p>
      <w:r>
        <w:t>During rain, contamination risk is a function of three variables: what is stored or exposed on site, where the water goes, and what sits at the end of that route. The table below sets out the receptors most often affected in the UAE and the controls that keep each one protected.</w:t>
      </w:r>
    </w:p>
    <w:p>
      <w:r>
        <w:rPr>
          <w:b/>
          <w:color w:val="0F2C4C"/>
          <w:sz w:val="19"/>
        </w:rPr>
        <w:t>Contamination pathways, receptors and controls</w:t>
      </w:r>
    </w:p>
    <w:tbl>
      <w:tblPr>
        <w:tblStyle w:val="TableGrid"/>
        <w:tblW w:type="auto" w:w="0"/>
        <w:jc w:val="center"/>
        <w:tblLook w:firstColumn="1" w:firstRow="1" w:lastColumn="0" w:lastRow="0" w:noHBand="0" w:noVBand="1" w:val="04A0"/>
        <w:tblLayout w:type="fixed"/>
      </w:tblPr>
      <w:tblGrid>
        <w:gridCol w:w="1814"/>
        <w:gridCol w:w="1814"/>
        <w:gridCol w:w="1814"/>
        <w:gridCol w:w="3629"/>
      </w:tblGrid>
      <w:tr>
        <w:trPr>
          <w:cantSplit/>
        </w:trPr>
        <w:tc>
          <w:tcPr>
            <w:tcW w:type="dxa" w:w="1814"/>
            <w:shd w:val="clear" w:color="auto" w:fill="126E6E"/>
          </w:tcPr>
          <w:p>
            <w:r/>
            <w:r>
              <w:rPr>
                <w:b/>
                <w:color w:val="FFFFFF"/>
                <w:sz w:val="17"/>
              </w:rPr>
              <w:t>Source on site</w:t>
            </w:r>
          </w:p>
        </w:tc>
        <w:tc>
          <w:tcPr>
            <w:tcW w:type="dxa" w:w="1814"/>
            <w:shd w:val="clear" w:color="auto" w:fill="126E6E"/>
          </w:tcPr>
          <w:p>
            <w:r/>
            <w:r>
              <w:rPr>
                <w:b/>
                <w:color w:val="FFFFFF"/>
                <w:sz w:val="17"/>
              </w:rPr>
              <w:t>Pathway</w:t>
            </w:r>
          </w:p>
        </w:tc>
        <w:tc>
          <w:tcPr>
            <w:tcW w:type="dxa" w:w="1814"/>
            <w:shd w:val="clear" w:color="auto" w:fill="126E6E"/>
          </w:tcPr>
          <w:p>
            <w:r/>
            <w:r>
              <w:rPr>
                <w:b/>
                <w:color w:val="FFFFFF"/>
                <w:sz w:val="17"/>
              </w:rPr>
              <w:t>Receptor at risk</w:t>
            </w:r>
          </w:p>
        </w:tc>
        <w:tc>
          <w:tcPr>
            <w:tcW w:type="dxa" w:w="3628"/>
            <w:shd w:val="clear" w:color="auto" w:fill="126E6E"/>
          </w:tcPr>
          <w:p>
            <w:r/>
            <w:r>
              <w:rPr>
                <w:b/>
                <w:color w:val="FFFFFF"/>
                <w:sz w:val="17"/>
              </w:rPr>
              <w:t>Primary controls</w:t>
            </w:r>
          </w:p>
        </w:tc>
      </w:tr>
      <w:tr>
        <w:trPr>
          <w:cantSplit/>
        </w:trPr>
        <w:tc>
          <w:tcPr>
            <w:tcW w:type="dxa" w:w="1814"/>
          </w:tcPr>
          <w:p>
            <w:r/>
            <w:r>
              <w:rPr>
                <w:sz w:val="17"/>
              </w:rPr>
              <w:t>Silt and exposed soil, unstabilised stockpiles</w:t>
            </w:r>
          </w:p>
        </w:tc>
        <w:tc>
          <w:tcPr>
            <w:tcW w:type="dxa" w:w="1814"/>
          </w:tcPr>
          <w:p>
            <w:r/>
            <w:r>
              <w:rPr>
                <w:sz w:val="17"/>
              </w:rPr>
              <w:t>Runoff carrying suspended solids</w:t>
            </w:r>
          </w:p>
        </w:tc>
        <w:tc>
          <w:tcPr>
            <w:tcW w:type="dxa" w:w="1814"/>
          </w:tcPr>
          <w:p>
            <w:r/>
            <w:r>
              <w:rPr>
                <w:sz w:val="17"/>
              </w:rPr>
              <w:t>Storm drains, public roads, wadis, coastal waters, mangroves</w:t>
            </w:r>
          </w:p>
        </w:tc>
        <w:tc>
          <w:tcPr>
            <w:tcW w:type="dxa" w:w="3628"/>
          </w:tcPr>
          <w:p>
            <w:r/>
            <w:r>
              <w:rPr>
                <w:sz w:val="17"/>
              </w:rPr>
              <w:t>Silt fences, sediment traps and check dams before bulk earthworks; covered or stabilised stockpiles; inlet protection; desilting before and after events</w:t>
            </w:r>
          </w:p>
        </w:tc>
      </w:tr>
      <w:tr>
        <w:trPr>
          <w:cantSplit/>
        </w:trPr>
        <w:tc>
          <w:tcPr>
            <w:tcW w:type="dxa" w:w="1814"/>
            <w:shd w:val="clear" w:color="auto" w:fill="F2F6FA"/>
          </w:tcPr>
          <w:p>
            <w:r/>
            <w:r>
              <w:rPr>
                <w:sz w:val="17"/>
              </w:rPr>
              <w:t>Dewatering and excavation water</w:t>
            </w:r>
          </w:p>
        </w:tc>
        <w:tc>
          <w:tcPr>
            <w:tcW w:type="dxa" w:w="1814"/>
            <w:shd w:val="clear" w:color="auto" w:fill="F2F6FA"/>
          </w:tcPr>
          <w:p>
            <w:r/>
            <w:r>
              <w:rPr>
                <w:sz w:val="17"/>
              </w:rPr>
              <w:t>Uncontrolled pumping to the nearest drain or watercourse</w:t>
            </w:r>
          </w:p>
        </w:tc>
        <w:tc>
          <w:tcPr>
            <w:tcW w:type="dxa" w:w="1814"/>
            <w:shd w:val="clear" w:color="auto" w:fill="F2F6FA"/>
          </w:tcPr>
          <w:p>
            <w:r/>
            <w:r>
              <w:rPr>
                <w:sz w:val="17"/>
              </w:rPr>
              <w:t>Public drainage network, groundwater, marine environment</w:t>
            </w:r>
          </w:p>
        </w:tc>
        <w:tc>
          <w:tcPr>
            <w:tcW w:type="dxa" w:w="3628"/>
            <w:shd w:val="clear" w:color="auto" w:fill="F2F6FA"/>
          </w:tcPr>
          <w:p>
            <w:r/>
            <w:r>
              <w:rPr>
                <w:sz w:val="17"/>
              </w:rPr>
              <w:t>Written dewatering permit or NOC with a routed drawing; settlement or filtration; sampling of uncharacterised water; approved tanker or receiver contingency</w:t>
            </w:r>
          </w:p>
        </w:tc>
      </w:tr>
      <w:tr>
        <w:trPr>
          <w:cantSplit/>
        </w:trPr>
        <w:tc>
          <w:tcPr>
            <w:tcW w:type="dxa" w:w="1814"/>
          </w:tcPr>
          <w:p>
            <w:r/>
            <w:r>
              <w:rPr>
                <w:sz w:val="17"/>
              </w:rPr>
              <w:t>Fuels, oils and chemicals</w:t>
            </w:r>
          </w:p>
        </w:tc>
        <w:tc>
          <w:tcPr>
            <w:tcW w:type="dxa" w:w="1814"/>
          </w:tcPr>
          <w:p>
            <w:r/>
            <w:r>
              <w:rPr>
                <w:sz w:val="17"/>
              </w:rPr>
              <w:t>Bund overtopping, flotation of drums, refuelling in the open, pump and generator drips</w:t>
            </w:r>
          </w:p>
        </w:tc>
        <w:tc>
          <w:tcPr>
            <w:tcW w:type="dxa" w:w="1814"/>
          </w:tcPr>
          <w:p>
            <w:r/>
            <w:r>
              <w:rPr>
                <w:sz w:val="17"/>
              </w:rPr>
              <w:t>Soil, groundwater, drains, marine environment</w:t>
            </w:r>
          </w:p>
        </w:tc>
        <w:tc>
          <w:tcPr>
            <w:tcW w:type="dxa" w:w="3628"/>
          </w:tcPr>
          <w:p>
            <w:r/>
            <w:r>
              <w:rPr>
                <w:sz w:val="17"/>
              </w:rPr>
              <w:t>Roofed, labelled, compatible secondary containment above ponding level; bund drains kept closed; oil-absorbent protection under pumps; attended refuelling; spill kits at point of risk</w:t>
            </w:r>
          </w:p>
        </w:tc>
      </w:tr>
      <w:tr>
        <w:trPr>
          <w:cantSplit/>
        </w:trPr>
        <w:tc>
          <w:tcPr>
            <w:tcW w:type="dxa" w:w="1814"/>
            <w:shd w:val="clear" w:color="auto" w:fill="F2F6FA"/>
          </w:tcPr>
          <w:p>
            <w:r/>
            <w:r>
              <w:rPr>
                <w:sz w:val="17"/>
              </w:rPr>
              <w:t>Concrete washout and cement fines</w:t>
            </w:r>
          </w:p>
        </w:tc>
        <w:tc>
          <w:tcPr>
            <w:tcW w:type="dxa" w:w="1814"/>
            <w:shd w:val="clear" w:color="auto" w:fill="F2F6FA"/>
          </w:tcPr>
          <w:p>
            <w:r/>
            <w:r>
              <w:rPr>
                <w:sz w:val="17"/>
              </w:rPr>
              <w:t>High-pH wash water and solids entering drainage</w:t>
            </w:r>
          </w:p>
        </w:tc>
        <w:tc>
          <w:tcPr>
            <w:tcW w:type="dxa" w:w="1814"/>
            <w:shd w:val="clear" w:color="auto" w:fill="F2F6FA"/>
          </w:tcPr>
          <w:p>
            <w:r/>
            <w:r>
              <w:rPr>
                <w:sz w:val="17"/>
              </w:rPr>
              <w:t>Drains, wadis, coastal water, protected habitats</w:t>
            </w:r>
          </w:p>
        </w:tc>
        <w:tc>
          <w:tcPr>
            <w:tcW w:type="dxa" w:w="3628"/>
            <w:shd w:val="clear" w:color="auto" w:fill="F2F6FA"/>
          </w:tcPr>
          <w:p>
            <w:r/>
            <w:r>
              <w:rPr>
                <w:sz w:val="17"/>
              </w:rPr>
              <w:t>Lined, bunded, signed washout with stormwater separation; no chute, tool or truck washing to soil, roads or gullies; controlled waste disposal</w:t>
            </w:r>
          </w:p>
        </w:tc>
      </w:tr>
      <w:tr>
        <w:trPr>
          <w:cantSplit/>
        </w:trPr>
        <w:tc>
          <w:tcPr>
            <w:tcW w:type="dxa" w:w="1814"/>
          </w:tcPr>
          <w:p>
            <w:r/>
            <w:r>
              <w:rPr>
                <w:sz w:val="17"/>
              </w:rPr>
              <w:t>Sewage, septic and holding tanks</w:t>
            </w:r>
          </w:p>
        </w:tc>
        <w:tc>
          <w:tcPr>
            <w:tcW w:type="dxa" w:w="1814"/>
          </w:tcPr>
          <w:p>
            <w:r/>
            <w:r>
              <w:rPr>
                <w:sz w:val="17"/>
              </w:rPr>
              <w:t>Overflow or backflow during flooding</w:t>
            </w:r>
          </w:p>
        </w:tc>
        <w:tc>
          <w:tcPr>
            <w:tcW w:type="dxa" w:w="1814"/>
          </w:tcPr>
          <w:p>
            <w:r/>
            <w:r>
              <w:rPr>
                <w:sz w:val="17"/>
              </w:rPr>
              <w:t>Welfare areas, stormwater, public health</w:t>
            </w:r>
          </w:p>
        </w:tc>
        <w:tc>
          <w:tcPr>
            <w:tcW w:type="dxa" w:w="3628"/>
          </w:tcPr>
          <w:p>
            <w:r/>
            <w:r>
              <w:rPr>
                <w:sz w:val="17"/>
              </w:rPr>
              <w:t>High-level alarms and tanker contingency; protected tanks and hoses; sewage never discharged to stormwater; clean and disinfect before reuse</w:t>
            </w:r>
          </w:p>
        </w:tc>
      </w:tr>
      <w:tr>
        <w:trPr>
          <w:cantSplit/>
        </w:trPr>
        <w:tc>
          <w:tcPr>
            <w:tcW w:type="dxa" w:w="1814"/>
            <w:shd w:val="clear" w:color="auto" w:fill="F2F6FA"/>
          </w:tcPr>
          <w:p>
            <w:r/>
            <w:r>
              <w:rPr>
                <w:sz w:val="17"/>
              </w:rPr>
              <w:t>Potable water systems</w:t>
            </w:r>
          </w:p>
        </w:tc>
        <w:tc>
          <w:tcPr>
            <w:tcW w:type="dxa" w:w="1814"/>
            <w:shd w:val="clear" w:color="auto" w:fill="F2F6FA"/>
          </w:tcPr>
          <w:p>
            <w:r/>
            <w:r>
              <w:rPr>
                <w:sz w:val="17"/>
              </w:rPr>
              <w:t>Ingress of floodwater or chemicals at tanks, fill points and hoses</w:t>
            </w:r>
          </w:p>
        </w:tc>
        <w:tc>
          <w:tcPr>
            <w:tcW w:type="dxa" w:w="1814"/>
            <w:shd w:val="clear" w:color="auto" w:fill="F2F6FA"/>
          </w:tcPr>
          <w:p>
            <w:r/>
            <w:r>
              <w:rPr>
                <w:sz w:val="17"/>
              </w:rPr>
              <w:t>Worker drinking water, kitchens, food preparation</w:t>
            </w:r>
          </w:p>
        </w:tc>
        <w:tc>
          <w:tcPr>
            <w:tcW w:type="dxa" w:w="3628"/>
            <w:shd w:val="clear" w:color="auto" w:fill="F2F6FA"/>
          </w:tcPr>
          <w:p>
            <w:r/>
            <w:r>
              <w:rPr>
                <w:sz w:val="17"/>
              </w:rPr>
              <w:t>Sealed and elevated tanks; protected fill points; isolate, disinfect and sample suspect systems; sealed alternative supply until cleared</w:t>
            </w:r>
          </w:p>
        </w:tc>
      </w:tr>
      <w:tr>
        <w:trPr>
          <w:cantSplit/>
        </w:trPr>
        <w:tc>
          <w:tcPr>
            <w:tcW w:type="dxa" w:w="1814"/>
          </w:tcPr>
          <w:p>
            <w:r/>
            <w:r>
              <w:rPr>
                <w:sz w:val="17"/>
              </w:rPr>
              <w:t>Waste containers and skips</w:t>
            </w:r>
          </w:p>
        </w:tc>
        <w:tc>
          <w:tcPr>
            <w:tcW w:type="dxa" w:w="1814"/>
          </w:tcPr>
          <w:p>
            <w:r/>
            <w:r>
              <w:rPr>
                <w:sz w:val="17"/>
              </w:rPr>
              <w:t>Rainwater ingress, leachate, overflow, unsecured lids</w:t>
            </w:r>
          </w:p>
        </w:tc>
        <w:tc>
          <w:tcPr>
            <w:tcW w:type="dxa" w:w="1814"/>
          </w:tcPr>
          <w:p>
            <w:r/>
            <w:r>
              <w:rPr>
                <w:sz w:val="17"/>
              </w:rPr>
              <w:t>Soil, drains, public roads</w:t>
            </w:r>
          </w:p>
        </w:tc>
        <w:tc>
          <w:tcPr>
            <w:tcW w:type="dxa" w:w="3628"/>
          </w:tcPr>
          <w:p>
            <w:r/>
            <w:r>
              <w:rPr>
                <w:sz w:val="17"/>
              </w:rPr>
              <w:t>Covered and labelled segregation of construction and demolition, hazardous, oil and general waste; licensed transport with manifests and receiving tickets</w:t>
            </w:r>
          </w:p>
        </w:tc>
      </w:tr>
      <w:tr>
        <w:trPr>
          <w:cantSplit/>
        </w:trPr>
        <w:tc>
          <w:tcPr>
            <w:tcW w:type="dxa" w:w="1814"/>
            <w:shd w:val="clear" w:color="auto" w:fill="F2F6FA"/>
          </w:tcPr>
          <w:p>
            <w:r/>
            <w:r>
              <w:rPr>
                <w:sz w:val="17"/>
              </w:rPr>
              <w:t>Unexpected contaminated soil or groundwater</w:t>
            </w:r>
          </w:p>
        </w:tc>
        <w:tc>
          <w:tcPr>
            <w:tcW w:type="dxa" w:w="1814"/>
            <w:shd w:val="clear" w:color="auto" w:fill="F2F6FA"/>
          </w:tcPr>
          <w:p>
            <w:r/>
            <w:r>
              <w:rPr>
                <w:sz w:val="17"/>
              </w:rPr>
              <w:t>Excavation and runoff mobilising unknown contamination</w:t>
            </w:r>
          </w:p>
        </w:tc>
        <w:tc>
          <w:tcPr>
            <w:tcW w:type="dxa" w:w="1814"/>
            <w:shd w:val="clear" w:color="auto" w:fill="F2F6FA"/>
          </w:tcPr>
          <w:p>
            <w:r/>
            <w:r>
              <w:rPr>
                <w:sz w:val="17"/>
              </w:rPr>
              <w:t>Workers, groundwater, adjacent land, receiving waters</w:t>
            </w:r>
          </w:p>
        </w:tc>
        <w:tc>
          <w:tcPr>
            <w:tcW w:type="dxa" w:w="3628"/>
            <w:shd w:val="clear" w:color="auto" w:fill="F2F6FA"/>
          </w:tcPr>
          <w:p>
            <w:r/>
            <w:r>
              <w:rPr>
                <w:sz w:val="17"/>
              </w:rPr>
              <w:t>Stop, cordon, notify the environmental manager, prevent tracking, sample and approve classification and remediation before restart</w:t>
            </w:r>
          </w:p>
        </w:tc>
      </w:tr>
    </w:tbl>
    <w:p/>
    <w:p>
      <w:pPr>
        <w:pStyle w:val="Heading2"/>
      </w:pPr>
      <w:r>
        <w:t>7. How the 100-point checklist is structured</w:t>
      </w:r>
    </w:p>
    <w:p>
      <w:r>
        <w:t>The companion workbook converts the discussion above into 100 auditable actions across ten domains. Each item carries a rationale, an authority or source reference, an applicability note, a priority, an owner, a status, an evidence reference and a verification signature. The workbook also contains a project dashboard that auto-loads site particulars into the checklist header, an emirate authority cross-reference, a thresholds and triggers sheet, a readiness summary that calculates completion by domain and by priority, an emergency contact sheet, the event lessons, the full source library and a RACI and sign-off sheet.</w:t>
      </w:r>
    </w:p>
    <w:p>
      <w:r>
        <w:rPr>
          <w:b/>
          <w:color w:val="0F2C4C"/>
          <w:sz w:val="19"/>
        </w:rPr>
        <w:t>Checklist structure by domain</w:t>
      </w:r>
    </w:p>
    <w:tbl>
      <w:tblPr>
        <w:tblStyle w:val="TableGrid"/>
        <w:tblW w:type="auto" w:w="0"/>
        <w:jc w:val="center"/>
        <w:tblLook w:firstColumn="1" w:firstRow="1" w:lastColumn="0" w:lastRow="0" w:noHBand="0" w:noVBand="1" w:val="04A0"/>
        <w:tblLayout w:type="fixed"/>
      </w:tblPr>
      <w:tblGrid>
        <w:gridCol w:w="3062"/>
        <w:gridCol w:w="4876"/>
        <w:gridCol w:w="1021"/>
      </w:tblGrid>
      <w:tr>
        <w:trPr>
          <w:cantSplit/>
        </w:trPr>
        <w:tc>
          <w:tcPr>
            <w:tcW w:type="dxa" w:w="3061"/>
            <w:shd w:val="clear" w:color="auto" w:fill="126E6E"/>
          </w:tcPr>
          <w:p>
            <w:r/>
            <w:r>
              <w:rPr>
                <w:b/>
                <w:color w:val="FFFFFF"/>
                <w:sz w:val="17"/>
              </w:rPr>
              <w:t>Domain</w:t>
            </w:r>
          </w:p>
        </w:tc>
        <w:tc>
          <w:tcPr>
            <w:tcW w:type="dxa" w:w="4876"/>
            <w:shd w:val="clear" w:color="auto" w:fill="126E6E"/>
          </w:tcPr>
          <w:p>
            <w:r/>
            <w:r>
              <w:rPr>
                <w:b/>
                <w:color w:val="FFFFFF"/>
                <w:sz w:val="17"/>
              </w:rPr>
              <w:t>Focus</w:t>
            </w:r>
          </w:p>
        </w:tc>
        <w:tc>
          <w:tcPr>
            <w:tcW w:type="dxa" w:w="1020"/>
            <w:shd w:val="clear" w:color="auto" w:fill="126E6E"/>
          </w:tcPr>
          <w:p>
            <w:r/>
            <w:r>
              <w:rPr>
                <w:b/>
                <w:color w:val="FFFFFF"/>
                <w:sz w:val="17"/>
              </w:rPr>
              <w:t>Items</w:t>
            </w:r>
          </w:p>
        </w:tc>
      </w:tr>
      <w:tr>
        <w:trPr>
          <w:cantSplit/>
        </w:trPr>
        <w:tc>
          <w:tcPr>
            <w:tcW w:type="dxa" w:w="3061"/>
          </w:tcPr>
          <w:p>
            <w:r/>
            <w:r>
              <w:rPr>
                <w:sz w:val="17"/>
              </w:rPr>
              <w:t>A. Governance, weather monitoring and competence</w:t>
            </w:r>
          </w:p>
        </w:tc>
        <w:tc>
          <w:tcPr>
            <w:tcW w:type="dxa" w:w="4876"/>
          </w:tcPr>
          <w:p>
            <w:r/>
            <w:r>
              <w:rPr>
                <w:sz w:val="17"/>
              </w:rPr>
              <w:t>Named decision-makers, NCM logging, alert matrix, all-clear authority, drills and briefings</w:t>
            </w:r>
          </w:p>
        </w:tc>
        <w:tc>
          <w:tcPr>
            <w:tcW w:type="dxa" w:w="1020"/>
          </w:tcPr>
          <w:p>
            <w:r/>
            <w:r>
              <w:rPr>
                <w:sz w:val="17"/>
              </w:rPr>
              <w:t>10</w:t>
            </w:r>
          </w:p>
        </w:tc>
      </w:tr>
      <w:tr>
        <w:trPr>
          <w:cantSplit/>
        </w:trPr>
        <w:tc>
          <w:tcPr>
            <w:tcW w:type="dxa" w:w="3061"/>
            <w:shd w:val="clear" w:color="auto" w:fill="F2F6FA"/>
          </w:tcPr>
          <w:p>
            <w:r/>
            <w:r>
              <w:rPr>
                <w:sz w:val="17"/>
              </w:rPr>
              <w:t>B. Drainage, flood defence and dewatering</w:t>
            </w:r>
          </w:p>
        </w:tc>
        <w:tc>
          <w:tcPr>
            <w:tcW w:type="dxa" w:w="4876"/>
            <w:shd w:val="clear" w:color="auto" w:fill="F2F6FA"/>
          </w:tcPr>
          <w:p>
            <w:r/>
            <w:r>
              <w:rPr>
                <w:sz w:val="17"/>
              </w:rPr>
              <w:t>Flood mapping, pumps, permits, discharge control, sediment and inlet protection</w:t>
            </w:r>
          </w:p>
        </w:tc>
        <w:tc>
          <w:tcPr>
            <w:tcW w:type="dxa" w:w="1020"/>
            <w:shd w:val="clear" w:color="auto" w:fill="F2F6FA"/>
          </w:tcPr>
          <w:p>
            <w:r/>
            <w:r>
              <w:rPr>
                <w:sz w:val="17"/>
              </w:rPr>
              <w:t>12</w:t>
            </w:r>
          </w:p>
        </w:tc>
      </w:tr>
      <w:tr>
        <w:trPr>
          <w:cantSplit/>
        </w:trPr>
        <w:tc>
          <w:tcPr>
            <w:tcW w:type="dxa" w:w="3061"/>
          </w:tcPr>
          <w:p>
            <w:r/>
            <w:r>
              <w:rPr>
                <w:sz w:val="17"/>
              </w:rPr>
              <w:t>C. Low-lying areas, excavations and ground conditions</w:t>
            </w:r>
          </w:p>
        </w:tc>
        <w:tc>
          <w:tcPr>
            <w:tcW w:type="dxa" w:w="4876"/>
          </w:tcPr>
          <w:p>
            <w:r/>
            <w:r>
              <w:rPr>
                <w:sz w:val="17"/>
              </w:rPr>
              <w:t>Flood-sensitive zones, no-entry triggers, excavation inspection, slopes, confined spaces, wadi risk</w:t>
            </w:r>
          </w:p>
        </w:tc>
        <w:tc>
          <w:tcPr>
            <w:tcW w:type="dxa" w:w="1020"/>
          </w:tcPr>
          <w:p>
            <w:r/>
            <w:r>
              <w:rPr>
                <w:sz w:val="17"/>
              </w:rPr>
              <w:t>12</w:t>
            </w:r>
          </w:p>
        </w:tc>
      </w:tr>
      <w:tr>
        <w:trPr>
          <w:cantSplit/>
        </w:trPr>
        <w:tc>
          <w:tcPr>
            <w:tcW w:type="dxa" w:w="3061"/>
            <w:shd w:val="clear" w:color="auto" w:fill="F2F6FA"/>
          </w:tcPr>
          <w:p>
            <w:r/>
            <w:r>
              <w:rPr>
                <w:sz w:val="17"/>
              </w:rPr>
              <w:t>D. Electrical safety and temporary power</w:t>
            </w:r>
          </w:p>
        </w:tc>
        <w:tc>
          <w:tcPr>
            <w:tcW w:type="dxa" w:w="4876"/>
            <w:shd w:val="clear" w:color="auto" w:fill="F2F6FA"/>
          </w:tcPr>
          <w:p>
            <w:r/>
            <w:r>
              <w:rPr>
                <w:sz w:val="17"/>
              </w:rPr>
              <w:t>Elevation, protection, RCD and earthing, isolation and lock-off, post-ingress testing</w:t>
            </w:r>
          </w:p>
        </w:tc>
        <w:tc>
          <w:tcPr>
            <w:tcW w:type="dxa" w:w="1020"/>
            <w:shd w:val="clear" w:color="auto" w:fill="F2F6FA"/>
          </w:tcPr>
          <w:p>
            <w:r/>
            <w:r>
              <w:rPr>
                <w:sz w:val="17"/>
              </w:rPr>
              <w:t>12</w:t>
            </w:r>
          </w:p>
        </w:tc>
      </w:tr>
      <w:tr>
        <w:trPr>
          <w:cantSplit/>
        </w:trPr>
        <w:tc>
          <w:tcPr>
            <w:tcW w:type="dxa" w:w="3061"/>
          </w:tcPr>
          <w:p>
            <w:r/>
            <w:r>
              <w:rPr>
                <w:sz w:val="17"/>
              </w:rPr>
              <w:t>E. Lifting, plant, scaffolding and temporary structures</w:t>
            </w:r>
          </w:p>
        </w:tc>
        <w:tc>
          <w:tcPr>
            <w:tcW w:type="dxa" w:w="4876"/>
          </w:tcPr>
          <w:p>
            <w:r/>
            <w:r>
              <w:rPr>
                <w:sz w:val="17"/>
              </w:rPr>
              <w:t>Wind limits, anemometers, out-of-service configuration, post-storm inspection and release</w:t>
            </w:r>
          </w:p>
        </w:tc>
        <w:tc>
          <w:tcPr>
            <w:tcW w:type="dxa" w:w="1020"/>
          </w:tcPr>
          <w:p>
            <w:r/>
            <w:r>
              <w:rPr>
                <w:sz w:val="17"/>
              </w:rPr>
              <w:t>10</w:t>
            </w:r>
          </w:p>
        </w:tc>
      </w:tr>
      <w:tr>
        <w:trPr>
          <w:cantSplit/>
        </w:trPr>
        <w:tc>
          <w:tcPr>
            <w:tcW w:type="dxa" w:w="3061"/>
            <w:shd w:val="clear" w:color="auto" w:fill="F2F6FA"/>
          </w:tcPr>
          <w:p>
            <w:r/>
            <w:r>
              <w:rPr>
                <w:sz w:val="17"/>
              </w:rPr>
              <w:t>F. Materials, storage and contamination control</w:t>
            </w:r>
          </w:p>
        </w:tc>
        <w:tc>
          <w:tcPr>
            <w:tcW w:type="dxa" w:w="4876"/>
            <w:shd w:val="clear" w:color="auto" w:fill="F2F6FA"/>
          </w:tcPr>
          <w:p>
            <w:r/>
            <w:r>
              <w:rPr>
                <w:sz w:val="17"/>
              </w:rPr>
              <w:t>Cover and elevation, bunding, washout, skips, stockpiles, chemical inventory</w:t>
            </w:r>
          </w:p>
        </w:tc>
        <w:tc>
          <w:tcPr>
            <w:tcW w:type="dxa" w:w="1020"/>
            <w:shd w:val="clear" w:color="auto" w:fill="F2F6FA"/>
          </w:tcPr>
          <w:p>
            <w:r/>
            <w:r>
              <w:rPr>
                <w:sz w:val="17"/>
              </w:rPr>
              <w:t>10</w:t>
            </w:r>
          </w:p>
        </w:tc>
      </w:tr>
      <w:tr>
        <w:trPr>
          <w:cantSplit/>
        </w:trPr>
        <w:tc>
          <w:tcPr>
            <w:tcW w:type="dxa" w:w="3061"/>
          </w:tcPr>
          <w:p>
            <w:r/>
            <w:r>
              <w:rPr>
                <w:sz w:val="17"/>
              </w:rPr>
              <w:t>G. Welfare, accommodation and worker health</w:t>
            </w:r>
          </w:p>
        </w:tc>
        <w:tc>
          <w:tcPr>
            <w:tcW w:type="dxa" w:w="4876"/>
          </w:tcPr>
          <w:p>
            <w:r/>
            <w:r>
              <w:rPr>
                <w:sz w:val="17"/>
              </w:rPr>
              <w:t>Accommodation, potable water, sewage, food safety, pest control, PPE and transport continuity</w:t>
            </w:r>
          </w:p>
        </w:tc>
        <w:tc>
          <w:tcPr>
            <w:tcW w:type="dxa" w:w="1020"/>
          </w:tcPr>
          <w:p>
            <w:r/>
            <w:r>
              <w:rPr>
                <w:sz w:val="17"/>
              </w:rPr>
              <w:t>11</w:t>
            </w:r>
          </w:p>
        </w:tc>
      </w:tr>
      <w:tr>
        <w:trPr>
          <w:cantSplit/>
        </w:trPr>
        <w:tc>
          <w:tcPr>
            <w:tcW w:type="dxa" w:w="3061"/>
            <w:shd w:val="clear" w:color="auto" w:fill="F2F6FA"/>
          </w:tcPr>
          <w:p>
            <w:r/>
            <w:r>
              <w:rPr>
                <w:sz w:val="17"/>
              </w:rPr>
              <w:t>H. Environmental protection and pollution prevention</w:t>
            </w:r>
          </w:p>
        </w:tc>
        <w:tc>
          <w:tcPr>
            <w:tcW w:type="dxa" w:w="4876"/>
            <w:shd w:val="clear" w:color="auto" w:fill="F2F6FA"/>
          </w:tcPr>
          <w:p>
            <w:r/>
            <w:r>
              <w:rPr>
                <w:sz w:val="17"/>
              </w:rPr>
              <w:t>Receptors, no-go buffers, water classification, incident reporting, licensed disposal</w:t>
            </w:r>
          </w:p>
        </w:tc>
        <w:tc>
          <w:tcPr>
            <w:tcW w:type="dxa" w:w="1020"/>
            <w:shd w:val="clear" w:color="auto" w:fill="F2F6FA"/>
          </w:tcPr>
          <w:p>
            <w:r/>
            <w:r>
              <w:rPr>
                <w:sz w:val="17"/>
              </w:rPr>
              <w:t>12</w:t>
            </w:r>
          </w:p>
        </w:tc>
      </w:tr>
      <w:tr>
        <w:trPr>
          <w:cantSplit/>
        </w:trPr>
        <w:tc>
          <w:tcPr>
            <w:tcW w:type="dxa" w:w="3061"/>
          </w:tcPr>
          <w:p>
            <w:r/>
            <w:r>
              <w:rPr>
                <w:sz w:val="17"/>
              </w:rPr>
              <w:t>I. Emergency response and communication</w:t>
            </w:r>
          </w:p>
        </w:tc>
        <w:tc>
          <w:tcPr>
            <w:tcW w:type="dxa" w:w="4876"/>
          </w:tcPr>
          <w:p>
            <w:r/>
            <w:r>
              <w:rPr>
                <w:sz w:val="17"/>
              </w:rPr>
              <w:t>Contacts and coordinates, national emergency routes, access, headcount, no-entry rules</w:t>
            </w:r>
          </w:p>
        </w:tc>
        <w:tc>
          <w:tcPr>
            <w:tcW w:type="dxa" w:w="1020"/>
          </w:tcPr>
          <w:p>
            <w:r/>
            <w:r>
              <w:rPr>
                <w:sz w:val="17"/>
              </w:rPr>
              <w:t>6</w:t>
            </w:r>
          </w:p>
        </w:tc>
      </w:tr>
      <w:tr>
        <w:trPr>
          <w:cantSplit/>
        </w:trPr>
        <w:tc>
          <w:tcPr>
            <w:tcW w:type="dxa" w:w="3061"/>
            <w:shd w:val="clear" w:color="auto" w:fill="F2F6FA"/>
          </w:tcPr>
          <w:p>
            <w:r/>
            <w:r>
              <w:rPr>
                <w:sz w:val="17"/>
              </w:rPr>
              <w:t>J. Recovery, reinstatement and assurance</w:t>
            </w:r>
          </w:p>
        </w:tc>
        <w:tc>
          <w:tcPr>
            <w:tcW w:type="dxa" w:w="4876"/>
            <w:shd w:val="clear" w:color="auto" w:fill="F2F6FA"/>
          </w:tcPr>
          <w:p>
            <w:r/>
            <w:r>
              <w:rPr>
                <w:sz w:val="17"/>
              </w:rPr>
              <w:t>Progressive re-entry, competent release, insurance evidence, reinstatement and after-action review</w:t>
            </w:r>
          </w:p>
        </w:tc>
        <w:tc>
          <w:tcPr>
            <w:tcW w:type="dxa" w:w="1020"/>
            <w:shd w:val="clear" w:color="auto" w:fill="F2F6FA"/>
          </w:tcPr>
          <w:p>
            <w:r/>
            <w:r>
              <w:rPr>
                <w:sz w:val="17"/>
              </w:rPr>
              <w:t>5</w:t>
            </w:r>
          </w:p>
        </w:tc>
      </w:tr>
    </w:tbl>
    <w:p/>
    <w:p>
      <w:pPr>
        <w:pStyle w:val="Heading2"/>
      </w:pPr>
      <w:r>
        <w:t>8. Lessons from the field: the failures that repeat</w:t>
      </w:r>
    </w:p>
    <w:p>
      <w:r>
        <w:t>Three failure patterns account for most rain-related incidents on UAE sites. The first is single-point capacity: one pump, one power feed, one access road, one discharge point. When any single element fails, the site floods or the workface becomes unsafe, and the response plan assumed that element would hold. Design redundancy explicitly - duty and standby pumps, backup power, an alternate access route and a lawful alternative discharge or tanker route.</w:t>
      </w:r>
    </w:p>
    <w:p>
      <w:r>
        <w:t>The second is the assumption that water is clean because it looks clean. Dewatering water that passes through an excavation can carry silt, hydrocarbons, cement fines and, in the wrong location, sewage or contaminated groundwater. Clear appearance is not evidence of quality, and a dewatering NOC is not permission to discharge whatever the pump picks up.</w:t>
      </w:r>
    </w:p>
    <w:p>
      <w:r>
        <w:t>The third is premature restart. Clear skies tempt supervisors to reopen access, re-enter excavations and re-energise boards before the technical checks that the day before's risk assessment demanded. A named all-clear authority, a documented release for each asset class, and a progressive re-entry sequence are what prevent the second incident - the one that happens after the storm.</w:t>
      </w:r>
    </w:p>
    <w:p>
      <w:pPr>
        <w:pStyle w:val="Heading2"/>
      </w:pPr>
      <w:r>
        <w:t>9. What not to overstate</w:t>
      </w:r>
    </w:p>
    <w:p>
      <w:r>
        <w:t>Good readiness documents are honest about the limits of their evidence. The following points are recorded here so that no reader builds a compliance position on an unverified claim.</w:t>
      </w:r>
    </w:p>
    <w:p>
      <w:r>
        <w:rPr>
          <w:b/>
          <w:color w:val="0F2C4C"/>
          <w:sz w:val="19"/>
        </w:rPr>
        <w:t>Verification limits and how to handle them</w:t>
      </w:r>
    </w:p>
    <w:tbl>
      <w:tblPr>
        <w:tblStyle w:val="TableGrid"/>
        <w:tblW w:type="auto" w:w="0"/>
        <w:jc w:val="center"/>
        <w:tblLook w:firstColumn="1" w:firstRow="1" w:lastColumn="0" w:lastRow="0" w:noHBand="0" w:noVBand="1" w:val="04A0"/>
        <w:tblLayout w:type="fixed"/>
      </w:tblPr>
      <w:tblGrid>
        <w:gridCol w:w="1928"/>
        <w:gridCol w:w="3629"/>
        <w:gridCol w:w="3515"/>
      </w:tblGrid>
      <w:tr>
        <w:trPr>
          <w:cantSplit/>
        </w:trPr>
        <w:tc>
          <w:tcPr>
            <w:tcW w:type="dxa" w:w="1928"/>
            <w:shd w:val="clear" w:color="auto" w:fill="126E6E"/>
          </w:tcPr>
          <w:p>
            <w:r/>
            <w:r>
              <w:rPr>
                <w:b/>
                <w:color w:val="FFFFFF"/>
                <w:sz w:val="17"/>
              </w:rPr>
              <w:t>Item</w:t>
            </w:r>
          </w:p>
        </w:tc>
        <w:tc>
          <w:tcPr>
            <w:tcW w:type="dxa" w:w="3628"/>
            <w:shd w:val="clear" w:color="auto" w:fill="126E6E"/>
          </w:tcPr>
          <w:p>
            <w:r/>
            <w:r>
              <w:rPr>
                <w:b/>
                <w:color w:val="FFFFFF"/>
                <w:sz w:val="17"/>
              </w:rPr>
              <w:t>Position</w:t>
            </w:r>
          </w:p>
        </w:tc>
        <w:tc>
          <w:tcPr>
            <w:tcW w:type="dxa" w:w="3515"/>
            <w:shd w:val="clear" w:color="auto" w:fill="126E6E"/>
          </w:tcPr>
          <w:p>
            <w:r/>
            <w:r>
              <w:rPr>
                <w:b/>
                <w:color w:val="FFFFFF"/>
                <w:sz w:val="17"/>
              </w:rPr>
              <w:t>Action</w:t>
            </w:r>
          </w:p>
        </w:tc>
      </w:tr>
      <w:tr>
        <w:trPr>
          <w:cantSplit/>
        </w:trPr>
        <w:tc>
          <w:tcPr>
            <w:tcW w:type="dxa" w:w="1928"/>
          </w:tcPr>
          <w:p>
            <w:r/>
            <w:r>
              <w:rPr>
                <w:sz w:val="17"/>
              </w:rPr>
              <w:t>NCM warning colours</w:t>
            </w:r>
          </w:p>
        </w:tc>
        <w:tc>
          <w:tcPr>
            <w:tcW w:type="dxa" w:w="3628"/>
          </w:tcPr>
          <w:p>
            <w:r/>
            <w:r>
              <w:rPr>
                <w:sz w:val="17"/>
              </w:rPr>
              <w:t>No current primary NCM English source defining construction-specific yellow, orange and red thresholds was verified.</w:t>
            </w:r>
          </w:p>
        </w:tc>
        <w:tc>
          <w:tcPr>
            <w:tcW w:type="dxa" w:w="3515"/>
          </w:tcPr>
          <w:p>
            <w:r/>
            <w:r>
              <w:rPr>
                <w:sz w:val="17"/>
              </w:rPr>
              <w:t>Log the official wording, area and validity; apply the project matrix and local instructions rather than asserting colour-based rules.</w:t>
            </w:r>
          </w:p>
        </w:tc>
      </w:tr>
      <w:tr>
        <w:trPr>
          <w:cantSplit/>
        </w:trPr>
        <w:tc>
          <w:tcPr>
            <w:tcW w:type="dxa" w:w="1928"/>
            <w:shd w:val="clear" w:color="auto" w:fill="F2F6FA"/>
          </w:tcPr>
          <w:p>
            <w:r/>
            <w:r>
              <w:rPr>
                <w:sz w:val="17"/>
              </w:rPr>
              <w:t>Sharjah drainage criteria</w:t>
            </w:r>
          </w:p>
        </w:tc>
        <w:tc>
          <w:tcPr>
            <w:tcW w:type="dxa" w:w="3628"/>
            <w:shd w:val="clear" w:color="auto" w:fill="F2F6FA"/>
          </w:tcPr>
          <w:p>
            <w:r/>
            <w:r>
              <w:rPr>
                <w:sz w:val="17"/>
              </w:rPr>
              <w:t>The municipal drainage e-service is official, but public technical design criteria were not exposed.</w:t>
            </w:r>
          </w:p>
        </w:tc>
        <w:tc>
          <w:tcPr>
            <w:tcW w:type="dxa" w:w="3515"/>
            <w:shd w:val="clear" w:color="auto" w:fill="F2F6FA"/>
          </w:tcPr>
          <w:p>
            <w:r/>
            <w:r>
              <w:rPr>
                <w:sz w:val="17"/>
              </w:rPr>
              <w:t>Obtain written project-specific discharge, connection and inspection conditions.</w:t>
            </w:r>
          </w:p>
        </w:tc>
      </w:tr>
      <w:tr>
        <w:trPr>
          <w:cantSplit/>
        </w:trPr>
        <w:tc>
          <w:tcPr>
            <w:tcW w:type="dxa" w:w="1928"/>
          </w:tcPr>
          <w:p>
            <w:r/>
            <w:r>
              <w:rPr>
                <w:sz w:val="17"/>
              </w:rPr>
              <w:t>Umm Al Quwain service catalogue</w:t>
            </w:r>
          </w:p>
        </w:tc>
        <w:tc>
          <w:tcPr>
            <w:tcW w:type="dxa" w:w="3628"/>
          </w:tcPr>
          <w:p>
            <w:r/>
            <w:r>
              <w:rPr>
                <w:sz w:val="17"/>
              </w:rPr>
              <w:t>The official catalogue may show maintenance or intermittent availability.</w:t>
            </w:r>
          </w:p>
        </w:tc>
        <w:tc>
          <w:tcPr>
            <w:tcW w:type="dxa" w:w="3515"/>
          </w:tcPr>
          <w:p>
            <w:r/>
            <w:r>
              <w:rPr>
                <w:sz w:val="17"/>
              </w:rPr>
              <w:t>Confirm the active municipal permit, drainage and environmental contact directly before work.</w:t>
            </w:r>
          </w:p>
        </w:tc>
      </w:tr>
      <w:tr>
        <w:trPr>
          <w:cantSplit/>
        </w:trPr>
        <w:tc>
          <w:tcPr>
            <w:tcW w:type="dxa" w:w="1928"/>
            <w:shd w:val="clear" w:color="auto" w:fill="F2F6FA"/>
          </w:tcPr>
          <w:p>
            <w:r/>
            <w:r>
              <w:rPr>
                <w:sz w:val="17"/>
              </w:rPr>
              <w:t>Ajman flood capacity</w:t>
            </w:r>
          </w:p>
        </w:tc>
        <w:tc>
          <w:tcPr>
            <w:tcW w:type="dxa" w:w="3628"/>
            <w:shd w:val="clear" w:color="auto" w:fill="F2F6FA"/>
          </w:tcPr>
          <w:p>
            <w:r/>
            <w:r>
              <w:rPr>
                <w:sz w:val="17"/>
              </w:rPr>
              <w:t>No verified parcel-level flood map, return period, pumping or drainage capacity was found for Al Jurf or Ajman Corniche.</w:t>
            </w:r>
          </w:p>
        </w:tc>
        <w:tc>
          <w:tcPr>
            <w:tcW w:type="dxa" w:w="3515"/>
            <w:shd w:val="clear" w:color="auto" w:fill="F2F6FA"/>
          </w:tcPr>
          <w:p>
            <w:r/>
            <w:r>
              <w:rPr>
                <w:sz w:val="17"/>
              </w:rPr>
              <w:t>Commission a survey, level and flood-route study and obtain MPDA confirmation; do not cite facility waste capacity as drainage capacity.</w:t>
            </w:r>
          </w:p>
        </w:tc>
      </w:tr>
      <w:tr>
        <w:trPr>
          <w:cantSplit/>
        </w:trPr>
        <w:tc>
          <w:tcPr>
            <w:tcW w:type="dxa" w:w="1928"/>
          </w:tcPr>
          <w:p>
            <w:r/>
            <w:r>
              <w:rPr>
                <w:sz w:val="17"/>
              </w:rPr>
              <w:t>Ras Al Khaimah emergency number</w:t>
            </w:r>
          </w:p>
        </w:tc>
        <w:tc>
          <w:tcPr>
            <w:tcW w:type="dxa" w:w="3628"/>
          </w:tcPr>
          <w:p>
            <w:r/>
            <w:r>
              <w:rPr>
                <w:sz w:val="17"/>
              </w:rPr>
              <w:t>General UAE guidance lists 997 for Civil Defence, while RAKEZ HS&amp;E directs calling RAK Civil Defence on 999 for spill, fire or suspected gas leak.</w:t>
            </w:r>
          </w:p>
        </w:tc>
        <w:tc>
          <w:tcPr>
            <w:tcW w:type="dxa" w:w="3515"/>
          </w:tcPr>
          <w:p>
            <w:r/>
            <w:r>
              <w:rPr>
                <w:sz w:val="17"/>
              </w:rPr>
              <w:t>Post both 999 and 997; call 999 immediately for a life-threatening event and follow the RAKEZ and local plan.</w:t>
            </w:r>
          </w:p>
        </w:tc>
      </w:tr>
      <w:tr>
        <w:trPr>
          <w:cantSplit/>
        </w:trPr>
        <w:tc>
          <w:tcPr>
            <w:tcW w:type="dxa" w:w="1928"/>
            <w:shd w:val="clear" w:color="auto" w:fill="F2F6FA"/>
          </w:tcPr>
          <w:p>
            <w:r/>
            <w:r>
              <w:rPr>
                <w:sz w:val="17"/>
              </w:rPr>
              <w:t>April 2024 record wording</w:t>
            </w:r>
          </w:p>
        </w:tc>
        <w:tc>
          <w:tcPr>
            <w:tcW w:type="dxa" w:w="3628"/>
            <w:shd w:val="clear" w:color="auto" w:fill="F2F6FA"/>
          </w:tcPr>
          <w:p>
            <w:r/>
            <w:r>
              <w:rPr>
                <w:sz w:val="17"/>
              </w:rPr>
              <w:t>NCM and WAM describe April 2024 as the largest since records began in 1949, while the same reporting notes a 287.6 mm single-station figure at Shuwaib in March 2016.</w:t>
            </w:r>
          </w:p>
        </w:tc>
        <w:tc>
          <w:tcPr>
            <w:tcW w:type="dxa" w:w="3515"/>
            <w:shd w:val="clear" w:color="auto" w:fill="F2F6FA"/>
          </w:tcPr>
          <w:p>
            <w:r/>
            <w:r>
              <w:rPr>
                <w:sz w:val="17"/>
              </w:rPr>
              <w:t>Avoid an unqualified all-station daily record claim; cite the source's exact context.</w:t>
            </w:r>
          </w:p>
        </w:tc>
      </w:tr>
      <w:tr>
        <w:trPr>
          <w:cantSplit/>
        </w:trPr>
        <w:tc>
          <w:tcPr>
            <w:tcW w:type="dxa" w:w="1928"/>
          </w:tcPr>
          <w:p>
            <w:r/>
            <w:r>
              <w:rPr>
                <w:sz w:val="17"/>
              </w:rPr>
              <w:t>Al Ain culvert length</w:t>
            </w:r>
          </w:p>
        </w:tc>
        <w:tc>
          <w:tcPr>
            <w:tcW w:type="dxa" w:w="3628"/>
          </w:tcPr>
          <w:p>
            <w:r/>
            <w:r>
              <w:rPr>
                <w:sz w:val="17"/>
              </w:rPr>
              <w:t>The 30 August 2025 release states both 2,390 m and 2,600 m.</w:t>
            </w:r>
          </w:p>
        </w:tc>
        <w:tc>
          <w:tcPr>
            <w:tcW w:type="dxa" w:w="3515"/>
          </w:tcPr>
          <w:p>
            <w:r/>
            <w:r>
              <w:rPr>
                <w:sz w:val="17"/>
              </w:rPr>
              <w:t>Treat capacity and length as press-release information only and use approved as-builts and design documents.</w:t>
            </w:r>
          </w:p>
        </w:tc>
      </w:tr>
      <w:tr>
        <w:trPr>
          <w:cantSplit/>
        </w:trPr>
        <w:tc>
          <w:tcPr>
            <w:tcW w:type="dxa" w:w="1928"/>
            <w:shd w:val="clear" w:color="auto" w:fill="F2F6FA"/>
          </w:tcPr>
          <w:p>
            <w:r/>
            <w:r>
              <w:rPr>
                <w:sz w:val="17"/>
              </w:rPr>
              <w:t>Fujairah port limits</w:t>
            </w:r>
          </w:p>
        </w:tc>
        <w:tc>
          <w:tcPr>
            <w:tcW w:type="dxa" w:w="3628"/>
            <w:shd w:val="clear" w:color="auto" w:fill="F2F6FA"/>
          </w:tcPr>
          <w:p>
            <w:r/>
            <w:r>
              <w:rPr>
                <w:sz w:val="17"/>
              </w:rPr>
              <w:t>Published wind and wave numbers relate to ADNOC Onshore Fujairah Terminal operations.</w:t>
            </w:r>
          </w:p>
        </w:tc>
        <w:tc>
          <w:tcPr>
            <w:tcW w:type="dxa" w:w="3515"/>
            <w:shd w:val="clear" w:color="auto" w:fill="F2F6FA"/>
          </w:tcPr>
          <w:p>
            <w:r/>
            <w:r>
              <w:rPr>
                <w:sz w:val="17"/>
              </w:rPr>
              <w:t>Do not apply them as universal construction or crane thresholds.</w:t>
            </w:r>
          </w:p>
        </w:tc>
      </w:tr>
      <w:tr>
        <w:trPr>
          <w:cantSplit/>
        </w:trPr>
        <w:tc>
          <w:tcPr>
            <w:tcW w:type="dxa" w:w="1928"/>
          </w:tcPr>
          <w:p>
            <w:r/>
            <w:r>
              <w:rPr>
                <w:sz w:val="17"/>
              </w:rPr>
              <w:t>110 V electrical practice</w:t>
            </w:r>
          </w:p>
        </w:tc>
        <w:tc>
          <w:tcPr>
            <w:tcW w:type="dxa" w:w="3628"/>
          </w:tcPr>
          <w:p>
            <w:r/>
            <w:r>
              <w:rPr>
                <w:sz w:val="17"/>
              </w:rPr>
              <w:t>ADOSH specifies temporary 110 V in Abu Dhabi; UK 110 V CTE practice is an international benchmark.</w:t>
            </w:r>
          </w:p>
        </w:tc>
        <w:tc>
          <w:tcPr>
            <w:tcW w:type="dxa" w:w="3515"/>
          </w:tcPr>
          <w:p>
            <w:r/>
            <w:r>
              <w:rPr>
                <w:sz w:val="17"/>
              </w:rPr>
              <w:t>Do not assume either is a national UAE rule; verify the local utility, authority and design requirement.</w:t>
            </w:r>
          </w:p>
        </w:tc>
      </w:tr>
      <w:tr>
        <w:trPr>
          <w:cantSplit/>
        </w:trPr>
        <w:tc>
          <w:tcPr>
            <w:tcW w:type="dxa" w:w="1928"/>
            <w:shd w:val="clear" w:color="auto" w:fill="F2F6FA"/>
          </w:tcPr>
          <w:p>
            <w:r/>
            <w:r>
              <w:rPr>
                <w:sz w:val="17"/>
              </w:rPr>
              <w:t>DDA dewatering NOC</w:t>
            </w:r>
          </w:p>
        </w:tc>
        <w:tc>
          <w:tcPr>
            <w:tcW w:type="dxa" w:w="3628"/>
            <w:shd w:val="clear" w:color="auto" w:fill="F2F6FA"/>
          </w:tcPr>
          <w:p>
            <w:r/>
            <w:r>
              <w:rPr>
                <w:sz w:val="17"/>
              </w:rPr>
              <w:t>It authorises a defined underground-water discharge route within DDA jurisdiction.</w:t>
            </w:r>
          </w:p>
        </w:tc>
        <w:tc>
          <w:tcPr>
            <w:tcW w:type="dxa" w:w="3515"/>
            <w:shd w:val="clear" w:color="auto" w:fill="F2F6FA"/>
          </w:tcPr>
          <w:p>
            <w:r/>
            <w:r>
              <w:rPr>
                <w:sz w:val="17"/>
              </w:rPr>
              <w:t>It is not a blanket permission for sewage, oily, silty or contaminated discharge.</w:t>
            </w:r>
          </w:p>
        </w:tc>
      </w:tr>
      <w:tr>
        <w:trPr>
          <w:cantSplit/>
        </w:trPr>
        <w:tc>
          <w:tcPr>
            <w:tcW w:type="dxa" w:w="1928"/>
          </w:tcPr>
          <w:p>
            <w:r/>
            <w:r>
              <w:rPr>
                <w:sz w:val="17"/>
              </w:rPr>
              <w:t>Third-party standards editions</w:t>
            </w:r>
          </w:p>
        </w:tc>
        <w:tc>
          <w:tcPr>
            <w:tcW w:type="dxa" w:w="3628"/>
          </w:tcPr>
          <w:p>
            <w:r/>
            <w:r>
              <w:rPr>
                <w:sz w:val="17"/>
              </w:rPr>
              <w:t>BS 6031, BS 5975, BS 7121, BS EN 12811, TG20, CIRIA C760 and full BS 7671 texts were referenced by title but not verified clause by clause.</w:t>
            </w:r>
          </w:p>
        </w:tc>
        <w:tc>
          <w:tcPr>
            <w:tcW w:type="dxa" w:w="3515"/>
          </w:tcPr>
          <w:p>
            <w:r/>
            <w:r>
              <w:rPr>
                <w:sz w:val="17"/>
              </w:rPr>
              <w:t>Use the project's current purchased edition before contractual or clause-level citation.</w:t>
            </w:r>
          </w:p>
        </w:tc>
      </w:tr>
      <w:tr>
        <w:trPr>
          <w:cantSplit/>
        </w:trPr>
        <w:tc>
          <w:tcPr>
            <w:tcW w:type="dxa" w:w="1928"/>
            <w:shd w:val="clear" w:color="auto" w:fill="F2F6FA"/>
          </w:tcPr>
          <w:p>
            <w:r/>
            <w:r>
              <w:rPr>
                <w:sz w:val="17"/>
              </w:rPr>
              <w:t>Project rainfall values</w:t>
            </w:r>
          </w:p>
        </w:tc>
        <w:tc>
          <w:tcPr>
            <w:tcW w:type="dxa" w:w="3628"/>
            <w:shd w:val="clear" w:color="auto" w:fill="F2F6FA"/>
          </w:tcPr>
          <w:p>
            <w:r/>
            <w:r>
              <w:rPr>
                <w:sz w:val="17"/>
              </w:rPr>
              <w:t>10 mm per hour and 25 mm per 24 hours are conservative project governance starting points.</w:t>
            </w:r>
          </w:p>
        </w:tc>
        <w:tc>
          <w:tcPr>
            <w:tcW w:type="dxa" w:w="3515"/>
            <w:shd w:val="clear" w:color="auto" w:fill="F2F6FA"/>
          </w:tcPr>
          <w:p>
            <w:r/>
            <w:r>
              <w:rPr>
                <w:sz w:val="17"/>
              </w:rPr>
              <w:t>Calibrate them through geotechnical, drainage and client approval; they are not UAE legal thresholds.</w:t>
            </w:r>
          </w:p>
        </w:tc>
      </w:tr>
    </w:tbl>
    <w:p/>
    <w:p>
      <w:pPr>
        <w:pStyle w:val="Heading2"/>
      </w:pPr>
      <w:r>
        <w:t>10. Conclusion and a ten-step executive action list</w:t>
      </w:r>
    </w:p>
    <w:p>
      <w:r>
        <w:t>The UAE's rainy season is short, but the window in which a site can prepare for it is shorter. The measures that matter are not exotic: name the people, map the water, test the pumps, protect the power, control the discharge, secure the materials, protect the welfare, know who to call, and prove you are ready to restart safely. What distinguishes a site that recovers quickly from one that generates an incident, a regulator enquiry and an insurance dispute is almost always documentation and discipline rather than equipment.</w:t>
      </w:r>
    </w:p>
    <w:p>
      <w:pPr>
        <w:pStyle w:val="ListBullet"/>
      </w:pPr>
      <w:r>
        <w:t>1. Appoint a named weather controller and deputy for every shift, with written authority to stop work, and name the all-clear authority.</w:t>
      </w:r>
    </w:p>
    <w:p>
      <w:pPr>
        <w:pStyle w:val="ListBullet"/>
      </w:pPr>
      <w:r>
        <w:t>2. Complete a surveyed site flood plan and mark flood-sensitive zones, flow paths, sumps and discharge points.</w:t>
      </w:r>
    </w:p>
    <w:p>
      <w:pPr>
        <w:pStyle w:val="ListBullet"/>
      </w:pPr>
      <w:r>
        <w:t>3. Verify every permit and NOC that touches water, power, waste and the environment, and keep the documents at the point of work.</w:t>
      </w:r>
    </w:p>
    <w:p>
      <w:pPr>
        <w:pStyle w:val="ListBullet"/>
      </w:pPr>
      <w:r>
        <w:t>4. Test duty and standby pumps, backup power, alarms and hoses before the first forecast rain, and pre-book tanker contingency.</w:t>
      </w:r>
    </w:p>
    <w:p>
      <w:pPr>
        <w:pStyle w:val="ListBullet"/>
      </w:pPr>
      <w:r>
        <w:t>5. Elevate and protect all temporary electrical equipment, verify RCD and earthing, and agree the post-ingress testing and re-energisation route.</w:t>
      </w:r>
    </w:p>
    <w:p>
      <w:pPr>
        <w:pStyle w:val="ListBullet"/>
      </w:pPr>
      <w:r>
        <w:t>6. Re-brief lift plans, crane wind limits, out-of-service configurations and scaffold post-storm inspection requirements.</w:t>
      </w:r>
    </w:p>
    <w:p>
      <w:pPr>
        <w:pStyle w:val="ListBullet"/>
      </w:pPr>
      <w:r>
        <w:t>7. Cover and elevate materials, bund fuels and chemicals, control concrete washout and secure every skip and loose item.</w:t>
      </w:r>
    </w:p>
    <w:p>
      <w:pPr>
        <w:pStyle w:val="ListBullet"/>
      </w:pPr>
      <w:r>
        <w:t>8. Protect accommodation, potable water, sanitation and food, and confirm transport and headcount arrangements.</w:t>
      </w:r>
    </w:p>
    <w:p>
      <w:pPr>
        <w:pStyle w:val="ListBullet"/>
      </w:pPr>
      <w:r>
        <w:t>9. Run one recorded rain and flood drill with subcontractors and accommodation management, and close the corrective actions.</w:t>
      </w:r>
    </w:p>
    <w:p>
      <w:pPr>
        <w:pStyle w:val="ListBullet"/>
      </w:pPr>
      <w:r>
        <w:t>10. After every event, complete a documented progressive re-entry, preserve the evidence, notify the insurer and update the plan.</w:t>
      </w:r>
    </w:p>
    <w:p>
      <w:pPr>
        <w:pStyle w:val="Heading2"/>
      </w:pPr>
      <w:r>
        <w:t>Annex A. Verified source library</w:t>
      </w:r>
    </w:p>
    <w:p>
      <w:r>
        <w:t>The following sources were used to build this article and the companion checklist. Non-UAE technical references are good practice benchmarks, not UAE law. Verify each live page, permit condition and document edition before relying on it.</w:t>
      </w:r>
    </w:p>
    <w:p>
      <w:r>
        <w:rPr>
          <w:b/>
          <w:color w:val="0F2C4C"/>
          <w:sz w:val="19"/>
        </w:rPr>
        <w:t>Verified sources used in this article and the companion checklist</w:t>
      </w:r>
    </w:p>
    <w:tbl>
      <w:tblPr>
        <w:tblStyle w:val="TableGrid"/>
        <w:tblW w:type="auto" w:w="0"/>
        <w:jc w:val="center"/>
        <w:tblLook w:firstColumn="1" w:firstRow="1" w:lastColumn="0" w:lastRow="0" w:noHBand="0" w:noVBand="1" w:val="04A0"/>
        <w:tblLayout w:type="fixed"/>
      </w:tblPr>
      <w:tblGrid>
        <w:gridCol w:w="680"/>
        <w:gridCol w:w="2835"/>
        <w:gridCol w:w="3062"/>
        <w:gridCol w:w="3062"/>
        <w:gridCol w:w="1474"/>
      </w:tblGrid>
      <w:tr>
        <w:trPr>
          <w:cantSplit/>
        </w:trPr>
        <w:tc>
          <w:tcPr>
            <w:tcW w:type="dxa" w:w="680"/>
            <w:shd w:val="clear" w:color="auto" w:fill="126E6E"/>
          </w:tcPr>
          <w:p>
            <w:r/>
            <w:r>
              <w:rPr>
                <w:b/>
                <w:color w:val="FFFFFF"/>
                <w:sz w:val="17"/>
              </w:rPr>
              <w:t>Ref</w:t>
            </w:r>
          </w:p>
        </w:tc>
        <w:tc>
          <w:tcPr>
            <w:tcW w:type="dxa" w:w="2835"/>
            <w:shd w:val="clear" w:color="auto" w:fill="126E6E"/>
          </w:tcPr>
          <w:p>
            <w:r/>
            <w:r>
              <w:rPr>
                <w:b/>
                <w:color w:val="FFFFFF"/>
                <w:sz w:val="17"/>
              </w:rPr>
              <w:t>Title</w:t>
            </w:r>
          </w:p>
        </w:tc>
        <w:tc>
          <w:tcPr>
            <w:tcW w:type="dxa" w:w="3061"/>
            <w:shd w:val="clear" w:color="auto" w:fill="126E6E"/>
          </w:tcPr>
          <w:p>
            <w:r/>
            <w:r>
              <w:rPr>
                <w:b/>
                <w:color w:val="FFFFFF"/>
                <w:sz w:val="17"/>
              </w:rPr>
              <w:t>URL</w:t>
            </w:r>
          </w:p>
        </w:tc>
        <w:tc>
          <w:tcPr>
            <w:tcW w:type="dxa" w:w="3061"/>
            <w:shd w:val="clear" w:color="auto" w:fill="126E6E"/>
          </w:tcPr>
          <w:p>
            <w:r/>
            <w:r>
              <w:rPr>
                <w:b/>
                <w:color w:val="FFFFFF"/>
                <w:sz w:val="17"/>
              </w:rPr>
              <w:t>Used for</w:t>
            </w:r>
          </w:p>
        </w:tc>
        <w:tc>
          <w:tcPr>
            <w:tcW w:type="dxa" w:w="1474"/>
            <w:shd w:val="clear" w:color="auto" w:fill="126E6E"/>
          </w:tcPr>
          <w:p>
            <w:r/>
            <w:r>
              <w:rPr>
                <w:b/>
                <w:color w:val="FFFFFF"/>
                <w:sz w:val="17"/>
              </w:rPr>
              <w:t>Status</w:t>
            </w:r>
          </w:p>
        </w:tc>
      </w:tr>
      <w:tr>
        <w:trPr>
          <w:cantSplit/>
        </w:trPr>
        <w:tc>
          <w:tcPr>
            <w:tcW w:type="dxa" w:w="680"/>
          </w:tcPr>
          <w:p>
            <w:r/>
            <w:r>
              <w:rPr>
                <w:sz w:val="17"/>
              </w:rPr>
              <w:t>F1</w:t>
            </w:r>
          </w:p>
        </w:tc>
        <w:tc>
          <w:tcPr>
            <w:tcW w:type="dxa" w:w="2835"/>
          </w:tcPr>
          <w:p>
            <w:r/>
            <w:r>
              <w:rPr>
                <w:sz w:val="17"/>
              </w:rPr>
              <w:t>National Center of Meteorology - forecast and warning map</w:t>
            </w:r>
          </w:p>
        </w:tc>
        <w:tc>
          <w:tcPr>
            <w:tcW w:type="dxa" w:w="3061"/>
          </w:tcPr>
          <w:p>
            <w:r/>
            <w:r>
              <w:rPr>
                <w:sz w:val="17"/>
              </w:rPr>
              <w:t>https://mobile.ncm.gov.ae/maps-weather-forecast?lang=en</w:t>
            </w:r>
          </w:p>
        </w:tc>
        <w:tc>
          <w:tcPr>
            <w:tcW w:type="dxa" w:w="3061"/>
          </w:tcPr>
          <w:p>
            <w:r/>
            <w:r>
              <w:rPr>
                <w:sz w:val="17"/>
              </w:rPr>
              <w:t>Official forecast and warning feed; record project-area hazard text, issue time and validity.</w:t>
            </w:r>
          </w:p>
        </w:tc>
        <w:tc>
          <w:tcPr>
            <w:tcW w:type="dxa" w:w="1474"/>
          </w:tcPr>
          <w:p>
            <w:r/>
            <w:r>
              <w:rPr>
                <w:sz w:val="17"/>
              </w:rPr>
              <w:t>Verified official</w:t>
            </w:r>
          </w:p>
        </w:tc>
      </w:tr>
      <w:tr>
        <w:trPr>
          <w:cantSplit/>
        </w:trPr>
        <w:tc>
          <w:tcPr>
            <w:tcW w:type="dxa" w:w="680"/>
            <w:shd w:val="clear" w:color="auto" w:fill="F2F6FA"/>
          </w:tcPr>
          <w:p>
            <w:r/>
            <w:r>
              <w:rPr>
                <w:sz w:val="17"/>
              </w:rPr>
              <w:t>F2</w:t>
            </w:r>
          </w:p>
        </w:tc>
        <w:tc>
          <w:tcPr>
            <w:tcW w:type="dxa" w:w="2835"/>
            <w:shd w:val="clear" w:color="auto" w:fill="F2F6FA"/>
          </w:tcPr>
          <w:p>
            <w:r/>
            <w:r>
              <w:rPr>
                <w:sz w:val="17"/>
              </w:rPr>
              <w:t>NCEMA - National Early Warning System</w:t>
            </w:r>
          </w:p>
        </w:tc>
        <w:tc>
          <w:tcPr>
            <w:tcW w:type="dxa" w:w="3061"/>
            <w:shd w:val="clear" w:color="auto" w:fill="F2F6FA"/>
          </w:tcPr>
          <w:p>
            <w:r/>
            <w:r>
              <w:rPr>
                <w:sz w:val="17"/>
              </w:rPr>
              <w:t>https://www.ncema.gov.ae/en/e-participation/blog/early-warning-system.aspx</w:t>
            </w:r>
          </w:p>
        </w:tc>
        <w:tc>
          <w:tcPr>
            <w:tcW w:type="dxa" w:w="3061"/>
            <w:shd w:val="clear" w:color="auto" w:fill="F2F6FA"/>
          </w:tcPr>
          <w:p>
            <w:r/>
            <w:r>
              <w:rPr>
                <w:sz w:val="17"/>
              </w:rPr>
              <w:t>National warning architecture and organisational preparedness.</w:t>
            </w:r>
          </w:p>
        </w:tc>
        <w:tc>
          <w:tcPr>
            <w:tcW w:type="dxa" w:w="1474"/>
            <w:shd w:val="clear" w:color="auto" w:fill="F2F6FA"/>
          </w:tcPr>
          <w:p>
            <w:r/>
            <w:r>
              <w:rPr>
                <w:sz w:val="17"/>
              </w:rPr>
              <w:t>Verified official</w:t>
            </w:r>
          </w:p>
        </w:tc>
      </w:tr>
      <w:tr>
        <w:trPr>
          <w:cantSplit/>
        </w:trPr>
        <w:tc>
          <w:tcPr>
            <w:tcW w:type="dxa" w:w="680"/>
          </w:tcPr>
          <w:p>
            <w:r/>
            <w:r>
              <w:rPr>
                <w:sz w:val="17"/>
              </w:rPr>
              <w:t>F3</w:t>
            </w:r>
          </w:p>
        </w:tc>
        <w:tc>
          <w:tcPr>
            <w:tcW w:type="dxa" w:w="2835"/>
          </w:tcPr>
          <w:p>
            <w:r/>
            <w:r>
              <w:rPr>
                <w:sz w:val="17"/>
              </w:rPr>
              <w:t>NCEMA - Preventive measures for heavy rain, lightning and thunderstorms</w:t>
            </w:r>
          </w:p>
        </w:tc>
        <w:tc>
          <w:tcPr>
            <w:tcW w:type="dxa" w:w="3061"/>
          </w:tcPr>
          <w:p>
            <w:r/>
            <w:r>
              <w:rPr>
                <w:sz w:val="17"/>
              </w:rPr>
              <w:t>https://www.ncema.gov.ae/en/e-participation/blog/preventive-measures-to-avoid-the-risks-of-heavy-rain-lightning-and-thunderstorms.aspx</w:t>
            </w:r>
          </w:p>
        </w:tc>
        <w:tc>
          <w:tcPr>
            <w:tcW w:type="dxa" w:w="3061"/>
          </w:tcPr>
          <w:p>
            <w:r/>
            <w:r>
              <w:rPr>
                <w:sz w:val="17"/>
              </w:rPr>
              <w:t>Drainage checks, securing items against wind and public safety actions.</w:t>
            </w:r>
          </w:p>
        </w:tc>
        <w:tc>
          <w:tcPr>
            <w:tcW w:type="dxa" w:w="1474"/>
          </w:tcPr>
          <w:p>
            <w:r/>
            <w:r>
              <w:rPr>
                <w:sz w:val="17"/>
              </w:rPr>
              <w:t>Verified official</w:t>
            </w:r>
          </w:p>
        </w:tc>
      </w:tr>
      <w:tr>
        <w:trPr>
          <w:cantSplit/>
        </w:trPr>
        <w:tc>
          <w:tcPr>
            <w:tcW w:type="dxa" w:w="680"/>
            <w:shd w:val="clear" w:color="auto" w:fill="F2F6FA"/>
          </w:tcPr>
          <w:p>
            <w:r/>
            <w:r>
              <w:rPr>
                <w:sz w:val="17"/>
              </w:rPr>
              <w:t>F4</w:t>
            </w:r>
          </w:p>
        </w:tc>
        <w:tc>
          <w:tcPr>
            <w:tcW w:type="dxa" w:w="2835"/>
            <w:shd w:val="clear" w:color="auto" w:fill="F2F6FA"/>
          </w:tcPr>
          <w:p>
            <w:r/>
            <w:r>
              <w:rPr>
                <w:sz w:val="17"/>
              </w:rPr>
              <w:t>NCEMA - Your Guide for Emergencies</w:t>
            </w:r>
          </w:p>
        </w:tc>
        <w:tc>
          <w:tcPr>
            <w:tcW w:type="dxa" w:w="3061"/>
            <w:shd w:val="clear" w:color="auto" w:fill="F2F6FA"/>
          </w:tcPr>
          <w:p>
            <w:r/>
            <w:r>
              <w:rPr>
                <w:sz w:val="17"/>
              </w:rPr>
              <w:t>https://www.ncema.gov.ae/content/documents/NCEMA%20Eng%20Daleel.pdf</w:t>
            </w:r>
          </w:p>
        </w:tc>
        <w:tc>
          <w:tcPr>
            <w:tcW w:type="dxa" w:w="3061"/>
            <w:shd w:val="clear" w:color="auto" w:fill="F2F6FA"/>
          </w:tcPr>
          <w:p>
            <w:r/>
            <w:r>
              <w:rPr>
                <w:sz w:val="17"/>
              </w:rPr>
              <w:t>Flood, lightning, evacuation and electrical-risk guidance.</w:t>
            </w:r>
          </w:p>
        </w:tc>
        <w:tc>
          <w:tcPr>
            <w:tcW w:type="dxa" w:w="1474"/>
            <w:shd w:val="clear" w:color="auto" w:fill="F2F6FA"/>
          </w:tcPr>
          <w:p>
            <w:r/>
            <w:r>
              <w:rPr>
                <w:sz w:val="17"/>
              </w:rPr>
              <w:t>Verified official</w:t>
            </w:r>
          </w:p>
        </w:tc>
      </w:tr>
      <w:tr>
        <w:trPr>
          <w:cantSplit/>
        </w:trPr>
        <w:tc>
          <w:tcPr>
            <w:tcW w:type="dxa" w:w="680"/>
          </w:tcPr>
          <w:p>
            <w:r/>
            <w:r>
              <w:rPr>
                <w:sz w:val="17"/>
              </w:rPr>
              <w:t>F5</w:t>
            </w:r>
          </w:p>
        </w:tc>
        <w:tc>
          <w:tcPr>
            <w:tcW w:type="dxa" w:w="2835"/>
          </w:tcPr>
          <w:p>
            <w:r/>
            <w:r>
              <w:rPr>
                <w:sz w:val="17"/>
              </w:rPr>
              <w:t>Federal Decree-Law No. 35 of 2024 - Reorganisation of the Civil Defence Authority</w:t>
            </w:r>
          </w:p>
        </w:tc>
        <w:tc>
          <w:tcPr>
            <w:tcW w:type="dxa" w:w="3061"/>
          </w:tcPr>
          <w:p>
            <w:r/>
            <w:r>
              <w:rPr>
                <w:sz w:val="17"/>
              </w:rPr>
              <w:t>https://uaelegislation.gov.ae/en/legislations/2771/download</w:t>
            </w:r>
          </w:p>
        </w:tc>
        <w:tc>
          <w:tcPr>
            <w:tcW w:type="dxa" w:w="3061"/>
          </w:tcPr>
          <w:p>
            <w:r/>
            <w:r>
              <w:rPr>
                <w:sz w:val="17"/>
              </w:rPr>
              <w:t>Civil Defence Authority within NCEMA; planning, alerting, evacuation, response and restoration.</w:t>
            </w:r>
          </w:p>
        </w:tc>
        <w:tc>
          <w:tcPr>
            <w:tcW w:type="dxa" w:w="1474"/>
          </w:tcPr>
          <w:p>
            <w:r/>
            <w:r>
              <w:rPr>
                <w:sz w:val="17"/>
              </w:rPr>
              <w:t>Verified official legislation</w:t>
            </w:r>
          </w:p>
        </w:tc>
      </w:tr>
      <w:tr>
        <w:trPr>
          <w:cantSplit/>
        </w:trPr>
        <w:tc>
          <w:tcPr>
            <w:tcW w:type="dxa" w:w="680"/>
            <w:shd w:val="clear" w:color="auto" w:fill="F2F6FA"/>
          </w:tcPr>
          <w:p>
            <w:r/>
            <w:r>
              <w:rPr>
                <w:sz w:val="17"/>
              </w:rPr>
              <w:t>F6</w:t>
            </w:r>
          </w:p>
        </w:tc>
        <w:tc>
          <w:tcPr>
            <w:tcW w:type="dxa" w:w="2835"/>
            <w:shd w:val="clear" w:color="auto" w:fill="F2F6FA"/>
          </w:tcPr>
          <w:p>
            <w:r/>
            <w:r>
              <w:rPr>
                <w:sz w:val="17"/>
              </w:rPr>
              <w:t>MOHRE - exceptional weather and remote-work circular, 8 March 2024</w:t>
            </w:r>
          </w:p>
        </w:tc>
        <w:tc>
          <w:tcPr>
            <w:tcW w:type="dxa" w:w="3061"/>
            <w:shd w:val="clear" w:color="auto" w:fill="F2F6FA"/>
          </w:tcPr>
          <w:p>
            <w:r/>
            <w:r>
              <w:rPr>
                <w:sz w:val="17"/>
              </w:rPr>
              <w:t>https://mohre.gov.ae/en/media-center/news/8/3/2024/mohre-urges-private-companies-to-take-caution-necessary-measures-during-exceptional-weather-conditio</w:t>
            </w:r>
          </w:p>
        </w:tc>
        <w:tc>
          <w:tcPr>
            <w:tcW w:type="dxa" w:w="3061"/>
            <w:shd w:val="clear" w:color="auto" w:fill="F2F6FA"/>
          </w:tcPr>
          <w:p>
            <w:r/>
            <w:r>
              <w:rPr>
                <w:sz w:val="17"/>
              </w:rPr>
              <w:t>Employer weather precautions, remote work where feasible and local-direction compliance.</w:t>
            </w:r>
          </w:p>
        </w:tc>
        <w:tc>
          <w:tcPr>
            <w:tcW w:type="dxa" w:w="1474"/>
            <w:shd w:val="clear" w:color="auto" w:fill="F2F6FA"/>
          </w:tcPr>
          <w:p>
            <w:r/>
            <w:r>
              <w:rPr>
                <w:sz w:val="17"/>
              </w:rPr>
              <w:t>Verified official</w:t>
            </w:r>
          </w:p>
        </w:tc>
      </w:tr>
      <w:tr>
        <w:trPr>
          <w:cantSplit/>
        </w:trPr>
        <w:tc>
          <w:tcPr>
            <w:tcW w:type="dxa" w:w="680"/>
          </w:tcPr>
          <w:p>
            <w:r/>
            <w:r>
              <w:rPr>
                <w:sz w:val="17"/>
              </w:rPr>
              <w:t>F7</w:t>
            </w:r>
          </w:p>
        </w:tc>
        <w:tc>
          <w:tcPr>
            <w:tcW w:type="dxa" w:w="2835"/>
          </w:tcPr>
          <w:p>
            <w:r/>
            <w:r>
              <w:rPr>
                <w:sz w:val="17"/>
              </w:rPr>
              <w:t>Cabinet Resolution No. 1 of 2022 - executive regulations for employment relations</w:t>
            </w:r>
          </w:p>
        </w:tc>
        <w:tc>
          <w:tcPr>
            <w:tcW w:type="dxa" w:w="3061"/>
          </w:tcPr>
          <w:p>
            <w:r/>
            <w:r>
              <w:rPr>
                <w:sz w:val="17"/>
              </w:rPr>
              <w:t>https://mohre.gov.ae/assets/download/ea85b46b/Cabinet%20Resolution%20_Executive%20Regulations%20Decree-Law%20No.%2033.pdf.aspx</w:t>
            </w:r>
          </w:p>
        </w:tc>
        <w:tc>
          <w:tcPr>
            <w:tcW w:type="dxa" w:w="3061"/>
          </w:tcPr>
          <w:p>
            <w:r/>
            <w:r>
              <w:rPr>
                <w:sz w:val="17"/>
              </w:rPr>
              <w:t>Article 15: qualifying bad-weather transit delay is working time.</w:t>
            </w:r>
          </w:p>
        </w:tc>
        <w:tc>
          <w:tcPr>
            <w:tcW w:type="dxa" w:w="1474"/>
          </w:tcPr>
          <w:p>
            <w:r/>
            <w:r>
              <w:rPr>
                <w:sz w:val="17"/>
              </w:rPr>
              <w:t>Verified official legislation</w:t>
            </w:r>
          </w:p>
        </w:tc>
      </w:tr>
      <w:tr>
        <w:trPr>
          <w:cantSplit/>
        </w:trPr>
        <w:tc>
          <w:tcPr>
            <w:tcW w:type="dxa" w:w="680"/>
            <w:shd w:val="clear" w:color="auto" w:fill="F2F6FA"/>
          </w:tcPr>
          <w:p>
            <w:r/>
            <w:r>
              <w:rPr>
                <w:sz w:val="17"/>
              </w:rPr>
              <w:t>F8</w:t>
            </w:r>
          </w:p>
        </w:tc>
        <w:tc>
          <w:tcPr>
            <w:tcW w:type="dxa" w:w="2835"/>
            <w:shd w:val="clear" w:color="auto" w:fill="F2F6FA"/>
          </w:tcPr>
          <w:p>
            <w:r/>
            <w:r>
              <w:rPr>
                <w:sz w:val="17"/>
              </w:rPr>
              <w:t>UAE Government - labour accommodation standards</w:t>
            </w:r>
          </w:p>
        </w:tc>
        <w:tc>
          <w:tcPr>
            <w:tcW w:type="dxa" w:w="3061"/>
            <w:shd w:val="clear" w:color="auto" w:fill="F2F6FA"/>
          </w:tcPr>
          <w:p>
            <w:r/>
            <w:r>
              <w:rPr>
                <w:sz w:val="17"/>
              </w:rPr>
              <w:t>https://u.ae/en/information-and-services/jobs/Sector-of-employment/employment-in-the-private-sector/labour-accommodation</w:t>
            </w:r>
          </w:p>
        </w:tc>
        <w:tc>
          <w:tcPr>
            <w:tcW w:type="dxa" w:w="3061"/>
            <w:shd w:val="clear" w:color="auto" w:fill="F2F6FA"/>
          </w:tcPr>
          <w:p>
            <w:r/>
            <w:r>
              <w:rPr>
                <w:sz w:val="17"/>
              </w:rPr>
              <w:t>Accommodation siting, water, sewage, hygiene, exits and fire-system baseline.</w:t>
            </w:r>
          </w:p>
        </w:tc>
        <w:tc>
          <w:tcPr>
            <w:tcW w:type="dxa" w:w="1474"/>
            <w:shd w:val="clear" w:color="auto" w:fill="F2F6FA"/>
          </w:tcPr>
          <w:p>
            <w:r/>
            <w:r>
              <w:rPr>
                <w:sz w:val="17"/>
              </w:rPr>
              <w:t>Verified official</w:t>
            </w:r>
          </w:p>
        </w:tc>
      </w:tr>
      <w:tr>
        <w:trPr>
          <w:cantSplit/>
        </w:trPr>
        <w:tc>
          <w:tcPr>
            <w:tcW w:type="dxa" w:w="680"/>
          </w:tcPr>
          <w:p>
            <w:r/>
            <w:r>
              <w:rPr>
                <w:sz w:val="17"/>
              </w:rPr>
              <w:t>F9</w:t>
            </w:r>
          </w:p>
        </w:tc>
        <w:tc>
          <w:tcPr>
            <w:tcW w:type="dxa" w:w="2835"/>
          </w:tcPr>
          <w:p>
            <w:r/>
            <w:r>
              <w:rPr>
                <w:sz w:val="17"/>
              </w:rPr>
              <w:t>Federal Law No. 24 of 1999 - Protection and Development of the Environment</w:t>
            </w:r>
          </w:p>
        </w:tc>
        <w:tc>
          <w:tcPr>
            <w:tcW w:type="dxa" w:w="3061"/>
          </w:tcPr>
          <w:p>
            <w:r/>
            <w:r>
              <w:rPr>
                <w:sz w:val="17"/>
              </w:rPr>
              <w:t>https://uaelegislation.gov.ae/en/legislations/1146</w:t>
            </w:r>
          </w:p>
        </w:tc>
        <w:tc>
          <w:tcPr>
            <w:tcW w:type="dxa" w:w="3061"/>
          </w:tcPr>
          <w:p>
            <w:r/>
            <w:r>
              <w:rPr>
                <w:sz w:val="17"/>
              </w:rPr>
              <w:t>Untreated-pollution prohibition; hazardous-substance and reserve controls.</w:t>
            </w:r>
          </w:p>
        </w:tc>
        <w:tc>
          <w:tcPr>
            <w:tcW w:type="dxa" w:w="1474"/>
          </w:tcPr>
          <w:p>
            <w:r/>
            <w:r>
              <w:rPr>
                <w:sz w:val="17"/>
              </w:rPr>
              <w:t>Verified official legislation</w:t>
            </w:r>
          </w:p>
        </w:tc>
      </w:tr>
      <w:tr>
        <w:trPr>
          <w:cantSplit/>
        </w:trPr>
        <w:tc>
          <w:tcPr>
            <w:tcW w:type="dxa" w:w="680"/>
            <w:shd w:val="clear" w:color="auto" w:fill="F2F6FA"/>
          </w:tcPr>
          <w:p>
            <w:r/>
            <w:r>
              <w:rPr>
                <w:sz w:val="17"/>
              </w:rPr>
              <w:t>F10</w:t>
            </w:r>
          </w:p>
        </w:tc>
        <w:tc>
          <w:tcPr>
            <w:tcW w:type="dxa" w:w="2835"/>
            <w:shd w:val="clear" w:color="auto" w:fill="F2F6FA"/>
          </w:tcPr>
          <w:p>
            <w:r/>
            <w:r>
              <w:rPr>
                <w:sz w:val="17"/>
              </w:rPr>
              <w:t>Federal Law No. 13 of 2020 - Public Health</w:t>
            </w:r>
          </w:p>
        </w:tc>
        <w:tc>
          <w:tcPr>
            <w:tcW w:type="dxa" w:w="3061"/>
            <w:shd w:val="clear" w:color="auto" w:fill="F2F6FA"/>
          </w:tcPr>
          <w:p>
            <w:r/>
            <w:r>
              <w:rPr>
                <w:sz w:val="17"/>
              </w:rPr>
              <w:t>https://uaelegislation.gov.ae/en/legislations/1456</w:t>
            </w:r>
          </w:p>
        </w:tc>
        <w:tc>
          <w:tcPr>
            <w:tcW w:type="dxa" w:w="3061"/>
            <w:shd w:val="clear" w:color="auto" w:fill="F2F6FA"/>
          </w:tcPr>
          <w:p>
            <w:r/>
            <w:r>
              <w:rPr>
                <w:sz w:val="17"/>
              </w:rPr>
              <w:t>Potable water, wastewater, waste and environmental and occupational-health duties.</w:t>
            </w:r>
          </w:p>
        </w:tc>
        <w:tc>
          <w:tcPr>
            <w:tcW w:type="dxa" w:w="1474"/>
            <w:shd w:val="clear" w:color="auto" w:fill="F2F6FA"/>
          </w:tcPr>
          <w:p>
            <w:r/>
            <w:r>
              <w:rPr>
                <w:sz w:val="17"/>
              </w:rPr>
              <w:t>Verified official legislation</w:t>
            </w:r>
          </w:p>
        </w:tc>
      </w:tr>
      <w:tr>
        <w:trPr>
          <w:cantSplit/>
        </w:trPr>
        <w:tc>
          <w:tcPr>
            <w:tcW w:type="dxa" w:w="680"/>
          </w:tcPr>
          <w:p>
            <w:r/>
            <w:r>
              <w:rPr>
                <w:sz w:val="17"/>
              </w:rPr>
              <w:t>F11</w:t>
            </w:r>
          </w:p>
        </w:tc>
        <w:tc>
          <w:tcPr>
            <w:tcW w:type="dxa" w:w="2835"/>
          </w:tcPr>
          <w:p>
            <w:r/>
            <w:r>
              <w:rPr>
                <w:sz w:val="17"/>
              </w:rPr>
              <w:t>Federal Law No. 12 of 2018 - Integrated Waste Management</w:t>
            </w:r>
          </w:p>
        </w:tc>
        <w:tc>
          <w:tcPr>
            <w:tcW w:type="dxa" w:w="3061"/>
          </w:tcPr>
          <w:p>
            <w:r/>
            <w:r>
              <w:rPr>
                <w:sz w:val="17"/>
              </w:rPr>
              <w:t>https://uaelegislation.gov.ae/en/legislations/1164/download</w:t>
            </w:r>
          </w:p>
        </w:tc>
        <w:tc>
          <w:tcPr>
            <w:tcW w:type="dxa" w:w="3061"/>
          </w:tcPr>
          <w:p>
            <w:r/>
            <w:r>
              <w:rPr>
                <w:sz w:val="17"/>
              </w:rPr>
              <w:t>C&amp;D, sewage, hazardous and oil-waste segregation and disposal; polluter restoration liability.</w:t>
            </w:r>
          </w:p>
        </w:tc>
        <w:tc>
          <w:tcPr>
            <w:tcW w:type="dxa" w:w="1474"/>
          </w:tcPr>
          <w:p>
            <w:r/>
            <w:r>
              <w:rPr>
                <w:sz w:val="17"/>
              </w:rPr>
              <w:t>Verified official legislation</w:t>
            </w:r>
          </w:p>
        </w:tc>
      </w:tr>
      <w:tr>
        <w:trPr>
          <w:cantSplit/>
        </w:trPr>
        <w:tc>
          <w:tcPr>
            <w:tcW w:type="dxa" w:w="680"/>
            <w:shd w:val="clear" w:color="auto" w:fill="F2F6FA"/>
          </w:tcPr>
          <w:p>
            <w:r/>
            <w:r>
              <w:rPr>
                <w:sz w:val="17"/>
              </w:rPr>
              <w:t>F12</w:t>
            </w:r>
          </w:p>
        </w:tc>
        <w:tc>
          <w:tcPr>
            <w:tcW w:type="dxa" w:w="2835"/>
            <w:shd w:val="clear" w:color="auto" w:fill="F2F6FA"/>
          </w:tcPr>
          <w:p>
            <w:r/>
            <w:r>
              <w:rPr>
                <w:sz w:val="17"/>
              </w:rPr>
              <w:t>UAE Government - handling emergencies</w:t>
            </w:r>
          </w:p>
        </w:tc>
        <w:tc>
          <w:tcPr>
            <w:tcW w:type="dxa" w:w="3061"/>
            <w:shd w:val="clear" w:color="auto" w:fill="F2F6FA"/>
          </w:tcPr>
          <w:p>
            <w:r/>
            <w:r>
              <w:rPr>
                <w:sz w:val="17"/>
              </w:rPr>
              <w:t>https://u.ae/en/information-and-services/justice-safety-and-the-law/Safety/handling-emergencies</w:t>
            </w:r>
          </w:p>
        </w:tc>
        <w:tc>
          <w:tcPr>
            <w:tcW w:type="dxa" w:w="3061"/>
            <w:shd w:val="clear" w:color="auto" w:fill="F2F6FA"/>
          </w:tcPr>
          <w:p>
            <w:r/>
            <w:r>
              <w:rPr>
                <w:sz w:val="17"/>
              </w:rPr>
              <w:t>National emergency routes and weather-warning information.</w:t>
            </w:r>
          </w:p>
        </w:tc>
        <w:tc>
          <w:tcPr>
            <w:tcW w:type="dxa" w:w="1474"/>
            <w:shd w:val="clear" w:color="auto" w:fill="F2F6FA"/>
          </w:tcPr>
          <w:p>
            <w:r/>
            <w:r>
              <w:rPr>
                <w:sz w:val="17"/>
              </w:rPr>
              <w:t>Verified official</w:t>
            </w:r>
          </w:p>
        </w:tc>
      </w:tr>
      <w:tr>
        <w:trPr>
          <w:cantSplit/>
        </w:trPr>
        <w:tc>
          <w:tcPr>
            <w:tcW w:type="dxa" w:w="680"/>
          </w:tcPr>
          <w:p>
            <w:r/>
            <w:r>
              <w:rPr>
                <w:sz w:val="17"/>
              </w:rPr>
              <w:t>F13</w:t>
            </w:r>
          </w:p>
        </w:tc>
        <w:tc>
          <w:tcPr>
            <w:tcW w:type="dxa" w:w="2835"/>
          </w:tcPr>
          <w:p>
            <w:r/>
            <w:r>
              <w:rPr>
                <w:sz w:val="17"/>
              </w:rPr>
              <w:t>MoEI - rain-affected roads and dams operational plan, 9 May 2024</w:t>
            </w:r>
          </w:p>
        </w:tc>
        <w:tc>
          <w:tcPr>
            <w:tcW w:type="dxa" w:w="3061"/>
          </w:tcPr>
          <w:p>
            <w:r/>
            <w:r>
              <w:rPr>
                <w:sz w:val="17"/>
              </w:rPr>
              <w:t>https://www.moei.gov.ae/en/media-center/news/9/5/2024/minister-of-energy-and-infrastructure-tours-rain-affected-areas-says-integrated-plan-is-in-place</w:t>
            </w:r>
          </w:p>
        </w:tc>
        <w:tc>
          <w:tcPr>
            <w:tcW w:type="dxa" w:w="3061"/>
          </w:tcPr>
          <w:p>
            <w:r/>
            <w:r>
              <w:rPr>
                <w:sz w:val="17"/>
              </w:rPr>
              <w:t>Federal road, dam and drainage recovery context.</w:t>
            </w:r>
          </w:p>
        </w:tc>
        <w:tc>
          <w:tcPr>
            <w:tcW w:type="dxa" w:w="1474"/>
          </w:tcPr>
          <w:p>
            <w:r/>
            <w:r>
              <w:rPr>
                <w:sz w:val="17"/>
              </w:rPr>
              <w:t>Verified official</w:t>
            </w:r>
          </w:p>
        </w:tc>
      </w:tr>
      <w:tr>
        <w:trPr>
          <w:cantSplit/>
        </w:trPr>
        <w:tc>
          <w:tcPr>
            <w:tcW w:type="dxa" w:w="680"/>
            <w:shd w:val="clear" w:color="auto" w:fill="F2F6FA"/>
          </w:tcPr>
          <w:p>
            <w:r/>
            <w:r>
              <w:rPr>
                <w:sz w:val="17"/>
              </w:rPr>
              <w:t>F14</w:t>
            </w:r>
          </w:p>
        </w:tc>
        <w:tc>
          <w:tcPr>
            <w:tcW w:type="dxa" w:w="2835"/>
            <w:shd w:val="clear" w:color="auto" w:fill="F2F6FA"/>
          </w:tcPr>
          <w:p>
            <w:r/>
            <w:r>
              <w:rPr>
                <w:sz w:val="17"/>
              </w:rPr>
              <w:t>NCEMA - Business Continuity Management Standard and Guide</w:t>
            </w:r>
          </w:p>
        </w:tc>
        <w:tc>
          <w:tcPr>
            <w:tcW w:type="dxa" w:w="3061"/>
            <w:shd w:val="clear" w:color="auto" w:fill="F2F6FA"/>
          </w:tcPr>
          <w:p>
            <w:r/>
            <w:r>
              <w:rPr>
                <w:sz w:val="17"/>
              </w:rPr>
              <w:t>https://www.ncema.gov.ae/content/documents/BCM%20English%20NCEMA_29_8_2013.pdf</w:t>
            </w:r>
          </w:p>
        </w:tc>
        <w:tc>
          <w:tcPr>
            <w:tcW w:type="dxa" w:w="3061"/>
            <w:shd w:val="clear" w:color="auto" w:fill="F2F6FA"/>
          </w:tcPr>
          <w:p>
            <w:r/>
            <w:r>
              <w:rPr>
                <w:sz w:val="17"/>
              </w:rPr>
              <w:t>Exercise, reporting, corrective action and continual-improvement framework.</w:t>
            </w:r>
          </w:p>
        </w:tc>
        <w:tc>
          <w:tcPr>
            <w:tcW w:type="dxa" w:w="1474"/>
            <w:shd w:val="clear" w:color="auto" w:fill="F2F6FA"/>
          </w:tcPr>
          <w:p>
            <w:r/>
            <w:r>
              <w:rPr>
                <w:sz w:val="17"/>
              </w:rPr>
              <w:t>Verified official</w:t>
            </w:r>
          </w:p>
        </w:tc>
      </w:tr>
      <w:tr>
        <w:trPr>
          <w:cantSplit/>
        </w:trPr>
        <w:tc>
          <w:tcPr>
            <w:tcW w:type="dxa" w:w="680"/>
          </w:tcPr>
          <w:p>
            <w:r/>
            <w:r>
              <w:rPr>
                <w:sz w:val="17"/>
              </w:rPr>
              <w:t>EV1</w:t>
            </w:r>
          </w:p>
        </w:tc>
        <w:tc>
          <w:tcPr>
            <w:tcW w:type="dxa" w:w="2835"/>
          </w:tcPr>
          <w:p>
            <w:r/>
            <w:r>
              <w:rPr>
                <w:sz w:val="17"/>
              </w:rPr>
              <w:t>NCM / WAM - UAE witnesses largest rainfall in 75 years, 17 April 2024</w:t>
            </w:r>
          </w:p>
        </w:tc>
        <w:tc>
          <w:tcPr>
            <w:tcW w:type="dxa" w:w="3061"/>
          </w:tcPr>
          <w:p>
            <w:r/>
            <w:r>
              <w:rPr>
                <w:sz w:val="17"/>
              </w:rPr>
              <w:t>https://www.wam.ae/en/article/13vbuq9-uae-witnesses-largest-rainfall-over-past-years</w:t>
            </w:r>
          </w:p>
        </w:tc>
        <w:tc>
          <w:tcPr>
            <w:tcW w:type="dxa" w:w="3061"/>
          </w:tcPr>
          <w:p>
            <w:r/>
            <w:r>
              <w:rPr>
                <w:sz w:val="17"/>
              </w:rPr>
              <w:t>April 2024 rainfall context and the 254 mm Khatm Al Shakla figure.</w:t>
            </w:r>
          </w:p>
        </w:tc>
        <w:tc>
          <w:tcPr>
            <w:tcW w:type="dxa" w:w="1474"/>
          </w:tcPr>
          <w:p>
            <w:r/>
            <w:r>
              <w:rPr>
                <w:sz w:val="17"/>
              </w:rPr>
              <w:t>Verified official news</w:t>
            </w:r>
          </w:p>
        </w:tc>
      </w:tr>
      <w:tr>
        <w:trPr>
          <w:cantSplit/>
        </w:trPr>
        <w:tc>
          <w:tcPr>
            <w:tcW w:type="dxa" w:w="680"/>
            <w:shd w:val="clear" w:color="auto" w:fill="F2F6FA"/>
          </w:tcPr>
          <w:p>
            <w:r/>
            <w:r>
              <w:rPr>
                <w:sz w:val="17"/>
              </w:rPr>
              <w:t>EV2</w:t>
            </w:r>
          </w:p>
        </w:tc>
        <w:tc>
          <w:tcPr>
            <w:tcW w:type="dxa" w:w="2835"/>
            <w:shd w:val="clear" w:color="auto" w:fill="F2F6FA"/>
          </w:tcPr>
          <w:p>
            <w:r/>
            <w:r>
              <w:rPr>
                <w:sz w:val="17"/>
              </w:rPr>
              <w:t>WAM - Ministry of Interior and NCEMA detail April 2024 response, 28 April 2024</w:t>
            </w:r>
          </w:p>
        </w:tc>
        <w:tc>
          <w:tcPr>
            <w:tcW w:type="dxa" w:w="3061"/>
            <w:shd w:val="clear" w:color="auto" w:fill="F2F6FA"/>
          </w:tcPr>
          <w:p>
            <w:r/>
            <w:r>
              <w:rPr>
                <w:sz w:val="17"/>
              </w:rPr>
              <w:t>https://www.wam.ae/en/article/b2vucl9-ministry-interior-ncema-detail-efforts-made-wake</w:t>
            </w:r>
          </w:p>
        </w:tc>
        <w:tc>
          <w:tcPr>
            <w:tcW w:type="dxa" w:w="3061"/>
            <w:shd w:val="clear" w:color="auto" w:fill="F2F6FA"/>
          </w:tcPr>
          <w:p>
            <w:r/>
            <w:r>
              <w:rPr>
                <w:sz w:val="17"/>
              </w:rPr>
              <w:t>Response scale, evacuation, transport and recovery evidence.</w:t>
            </w:r>
          </w:p>
        </w:tc>
        <w:tc>
          <w:tcPr>
            <w:tcW w:type="dxa" w:w="1474"/>
            <w:shd w:val="clear" w:color="auto" w:fill="F2F6FA"/>
          </w:tcPr>
          <w:p>
            <w:r/>
            <w:r>
              <w:rPr>
                <w:sz w:val="17"/>
              </w:rPr>
              <w:t>Verified official news</w:t>
            </w:r>
          </w:p>
        </w:tc>
      </w:tr>
      <w:tr>
        <w:trPr>
          <w:cantSplit/>
        </w:trPr>
        <w:tc>
          <w:tcPr>
            <w:tcW w:type="dxa" w:w="680"/>
          </w:tcPr>
          <w:p>
            <w:r/>
            <w:r>
              <w:rPr>
                <w:sz w:val="17"/>
              </w:rPr>
              <w:t>EV3</w:t>
            </w:r>
          </w:p>
        </w:tc>
        <w:tc>
          <w:tcPr>
            <w:tcW w:type="dxa" w:w="2835"/>
          </w:tcPr>
          <w:p>
            <w:r/>
            <w:r>
              <w:rPr>
                <w:sz w:val="17"/>
              </w:rPr>
              <w:t>Dubai Government Media Office - Cabinet relief and infrastructure committee, 24 April 2024</w:t>
            </w:r>
          </w:p>
        </w:tc>
        <w:tc>
          <w:tcPr>
            <w:tcW w:type="dxa" w:w="3061"/>
          </w:tcPr>
          <w:p>
            <w:r/>
            <w:r>
              <w:rPr>
                <w:sz w:val="17"/>
              </w:rPr>
              <w:t>https://mediaoffice.ae/en/news/2024/april/24-04/mohammed-bin-rashid-chairs-cabinet-meeting</w:t>
            </w:r>
          </w:p>
        </w:tc>
        <w:tc>
          <w:tcPr>
            <w:tcW w:type="dxa" w:w="3061"/>
          </w:tcPr>
          <w:p>
            <w:r/>
            <w:r>
              <w:rPr>
                <w:sz w:val="17"/>
              </w:rPr>
              <w:t>AED 2bn relief and the flood and infrastructure assessment committee.</w:t>
            </w:r>
          </w:p>
        </w:tc>
        <w:tc>
          <w:tcPr>
            <w:tcW w:type="dxa" w:w="1474"/>
          </w:tcPr>
          <w:p>
            <w:r/>
            <w:r>
              <w:rPr>
                <w:sz w:val="17"/>
              </w:rPr>
              <w:t>Verified official news</w:t>
            </w:r>
          </w:p>
        </w:tc>
      </w:tr>
      <w:tr>
        <w:trPr>
          <w:cantSplit/>
        </w:trPr>
        <w:tc>
          <w:tcPr>
            <w:tcW w:type="dxa" w:w="680"/>
            <w:shd w:val="clear" w:color="auto" w:fill="F2F6FA"/>
          </w:tcPr>
          <w:p>
            <w:r/>
            <w:r>
              <w:rPr>
                <w:sz w:val="17"/>
              </w:rPr>
              <w:t>EV4</w:t>
            </w:r>
          </w:p>
        </w:tc>
        <w:tc>
          <w:tcPr>
            <w:tcW w:type="dxa" w:w="2835"/>
            <w:shd w:val="clear" w:color="auto" w:fill="F2F6FA"/>
          </w:tcPr>
          <w:p>
            <w:r/>
            <w:r>
              <w:rPr>
                <w:sz w:val="17"/>
              </w:rPr>
              <w:t>Dubai Municipality / Dubai Media Office - post-rain pest-control strategies, 5 May 2024</w:t>
            </w:r>
          </w:p>
        </w:tc>
        <w:tc>
          <w:tcPr>
            <w:tcW w:type="dxa" w:w="3061"/>
            <w:shd w:val="clear" w:color="auto" w:fill="F2F6FA"/>
          </w:tcPr>
          <w:p>
            <w:r/>
            <w:r>
              <w:rPr>
                <w:sz w:val="17"/>
              </w:rPr>
              <w:t>https://www.mediaoffice.ae/en/news/2024/may/05-05/dubai-municipality-initiates-comprehensive-pest-control-strategies</w:t>
            </w:r>
          </w:p>
        </w:tc>
        <w:tc>
          <w:tcPr>
            <w:tcW w:type="dxa" w:w="3061"/>
            <w:shd w:val="clear" w:color="auto" w:fill="F2F6FA"/>
          </w:tcPr>
          <w:p>
            <w:r/>
            <w:r>
              <w:rPr>
                <w:sz w:val="17"/>
              </w:rPr>
              <w:t>Stagnant-water, outlet and construction-site post-event controls.</w:t>
            </w:r>
          </w:p>
        </w:tc>
        <w:tc>
          <w:tcPr>
            <w:tcW w:type="dxa" w:w="1474"/>
            <w:shd w:val="clear" w:color="auto" w:fill="F2F6FA"/>
          </w:tcPr>
          <w:p>
            <w:r/>
            <w:r>
              <w:rPr>
                <w:sz w:val="17"/>
              </w:rPr>
              <w:t>Verified official news</w:t>
            </w:r>
          </w:p>
        </w:tc>
      </w:tr>
      <w:tr>
        <w:trPr>
          <w:cantSplit/>
        </w:trPr>
        <w:tc>
          <w:tcPr>
            <w:tcW w:type="dxa" w:w="680"/>
          </w:tcPr>
          <w:p>
            <w:r/>
            <w:r>
              <w:rPr>
                <w:sz w:val="17"/>
              </w:rPr>
              <w:t>EV5</w:t>
            </w:r>
          </w:p>
        </w:tc>
        <w:tc>
          <w:tcPr>
            <w:tcW w:type="dxa" w:w="2835"/>
          </w:tcPr>
          <w:p>
            <w:r/>
            <w:r>
              <w:rPr>
                <w:sz w:val="17"/>
              </w:rPr>
              <w:t>Dubai Government Media Office - Tasreef stormwater contracts, 13 April 2025</w:t>
            </w:r>
          </w:p>
        </w:tc>
        <w:tc>
          <w:tcPr>
            <w:tcW w:type="dxa" w:w="3061"/>
          </w:tcPr>
          <w:p>
            <w:r/>
            <w:r>
              <w:rPr>
                <w:sz w:val="17"/>
              </w:rPr>
              <w:t>https://mediaoffice.ae/en/news/2025/april/13-04/dubai-municipality-awards-new-stormwater-drainage-project-contracts</w:t>
            </w:r>
          </w:p>
        </w:tc>
        <w:tc>
          <w:tcPr>
            <w:tcW w:type="dxa" w:w="3061"/>
          </w:tcPr>
          <w:p>
            <w:r/>
            <w:r>
              <w:rPr>
                <w:sz w:val="17"/>
              </w:rPr>
              <w:t>Strategic drainage investment; not a site-specific flood guarantee.</w:t>
            </w:r>
          </w:p>
        </w:tc>
        <w:tc>
          <w:tcPr>
            <w:tcW w:type="dxa" w:w="1474"/>
          </w:tcPr>
          <w:p>
            <w:r/>
            <w:r>
              <w:rPr>
                <w:sz w:val="17"/>
              </w:rPr>
              <w:t>Verified official news</w:t>
            </w:r>
          </w:p>
        </w:tc>
      </w:tr>
      <w:tr>
        <w:trPr>
          <w:cantSplit/>
        </w:trPr>
        <w:tc>
          <w:tcPr>
            <w:tcW w:type="dxa" w:w="680"/>
            <w:shd w:val="clear" w:color="auto" w:fill="F2F6FA"/>
          </w:tcPr>
          <w:p>
            <w:r/>
            <w:r>
              <w:rPr>
                <w:sz w:val="17"/>
              </w:rPr>
              <w:t>EV6</w:t>
            </w:r>
          </w:p>
        </w:tc>
        <w:tc>
          <w:tcPr>
            <w:tcW w:type="dxa" w:w="2835"/>
            <w:shd w:val="clear" w:color="auto" w:fill="F2F6FA"/>
          </w:tcPr>
          <w:p>
            <w:r/>
            <w:r>
              <w:rPr>
                <w:sz w:val="17"/>
              </w:rPr>
              <w:t>Al Ain Municipality / DMT - box culvert project, 30 August 2025</w:t>
            </w:r>
          </w:p>
        </w:tc>
        <w:tc>
          <w:tcPr>
            <w:tcW w:type="dxa" w:w="3061"/>
            <w:shd w:val="clear" w:color="auto" w:fill="F2F6FA"/>
          </w:tcPr>
          <w:p>
            <w:r/>
            <w:r>
              <w:rPr>
                <w:sz w:val="17"/>
              </w:rPr>
              <w:t>https://www.dmt.gov.ae/en/aam/Media-Centre/News/Al-Ain-Municipality-completes-the-Box-Culvert-Project-for-rainwater-drainage</w:t>
            </w:r>
          </w:p>
        </w:tc>
        <w:tc>
          <w:tcPr>
            <w:tcW w:type="dxa" w:w="3061"/>
            <w:shd w:val="clear" w:color="auto" w:fill="F2F6FA"/>
          </w:tcPr>
          <w:p>
            <w:r/>
            <w:r>
              <w:rPr>
                <w:sz w:val="17"/>
              </w:rPr>
              <w:t>Al Ain culvert capacity and length announcement; length discrepancy noted.</w:t>
            </w:r>
          </w:p>
        </w:tc>
        <w:tc>
          <w:tcPr>
            <w:tcW w:type="dxa" w:w="1474"/>
            <w:shd w:val="clear" w:color="auto" w:fill="F2F6FA"/>
          </w:tcPr>
          <w:p>
            <w:r/>
            <w:r>
              <w:rPr>
                <w:sz w:val="17"/>
              </w:rPr>
              <w:t>Verified official news</w:t>
            </w:r>
          </w:p>
        </w:tc>
      </w:tr>
      <w:tr>
        <w:trPr>
          <w:cantSplit/>
        </w:trPr>
        <w:tc>
          <w:tcPr>
            <w:tcW w:type="dxa" w:w="680"/>
          </w:tcPr>
          <w:p>
            <w:r/>
            <w:r>
              <w:rPr>
                <w:sz w:val="17"/>
              </w:rPr>
              <w:t>EV7</w:t>
            </w:r>
          </w:p>
        </w:tc>
        <w:tc>
          <w:tcPr>
            <w:tcW w:type="dxa" w:w="2835"/>
          </w:tcPr>
          <w:p>
            <w:r/>
            <w:r>
              <w:rPr>
                <w:sz w:val="17"/>
              </w:rPr>
              <w:t>Dubai Municipality - teams manage weather impacts, 18 December 2025</w:t>
            </w:r>
          </w:p>
        </w:tc>
        <w:tc>
          <w:tcPr>
            <w:tcW w:type="dxa" w:w="3061"/>
          </w:tcPr>
          <w:p>
            <w:r/>
            <w:r>
              <w:rPr>
                <w:sz w:val="17"/>
              </w:rPr>
              <w:t>https://www.dm.gov.ae/dubai-municipality-teams-work-around-the-clock-to-manage-weather-impacts/</w:t>
            </w:r>
          </w:p>
        </w:tc>
        <w:tc>
          <w:tcPr>
            <w:tcW w:type="dxa" w:w="3061"/>
          </w:tcPr>
          <w:p>
            <w:r/>
            <w:r>
              <w:rPr>
                <w:sz w:val="17"/>
              </w:rPr>
              <w:t>Preventive inspections, pumping lines, temporary lakes and reporting readiness.</w:t>
            </w:r>
          </w:p>
        </w:tc>
        <w:tc>
          <w:tcPr>
            <w:tcW w:type="dxa" w:w="1474"/>
          </w:tcPr>
          <w:p>
            <w:r/>
            <w:r>
              <w:rPr>
                <w:sz w:val="17"/>
              </w:rPr>
              <w:t>Verified official news</w:t>
            </w:r>
          </w:p>
        </w:tc>
      </w:tr>
      <w:tr>
        <w:trPr>
          <w:cantSplit/>
        </w:trPr>
        <w:tc>
          <w:tcPr>
            <w:tcW w:type="dxa" w:w="680"/>
            <w:shd w:val="clear" w:color="auto" w:fill="F2F6FA"/>
          </w:tcPr>
          <w:p>
            <w:r/>
            <w:r>
              <w:rPr>
                <w:sz w:val="17"/>
              </w:rPr>
              <w:t>AD1</w:t>
            </w:r>
          </w:p>
        </w:tc>
        <w:tc>
          <w:tcPr>
            <w:tcW w:type="dxa" w:w="2835"/>
            <w:shd w:val="clear" w:color="auto" w:fill="F2F6FA"/>
          </w:tcPr>
          <w:p>
            <w:r/>
            <w:r>
              <w:rPr>
                <w:sz w:val="17"/>
              </w:rPr>
              <w:t>DMT - Abu Dhabi Emirate Guideline for Infrastructure Services Standards</w:t>
            </w:r>
          </w:p>
        </w:tc>
        <w:tc>
          <w:tcPr>
            <w:tcW w:type="dxa" w:w="3061"/>
            <w:shd w:val="clear" w:color="auto" w:fill="F2F6FA"/>
          </w:tcPr>
          <w:p>
            <w:r/>
            <w:r>
              <w:rPr>
                <w:sz w:val="17"/>
              </w:rPr>
              <w:t>https://www.dmt.gov.ae/adm/-/media/Project/DMT/ADM/E-Library/Abu-Dhabi-Emirate-Guideline-for-Infrastructure-Services-Standards.pdf</w:t>
            </w:r>
          </w:p>
        </w:tc>
        <w:tc>
          <w:tcPr>
            <w:tcW w:type="dxa" w:w="3061"/>
            <w:shd w:val="clear" w:color="auto" w:fill="F2F6FA"/>
          </w:tcPr>
          <w:p>
            <w:r/>
            <w:r>
              <w:rPr>
                <w:sz w:val="17"/>
              </w:rPr>
              <w:t>DMT stormwater documents, NOC lifecycle and municipal and asset-owner interface.</w:t>
            </w:r>
          </w:p>
        </w:tc>
        <w:tc>
          <w:tcPr>
            <w:tcW w:type="dxa" w:w="1474"/>
            <w:shd w:val="clear" w:color="auto" w:fill="F2F6FA"/>
          </w:tcPr>
          <w:p>
            <w:r/>
            <w:r>
              <w:rPr>
                <w:sz w:val="17"/>
              </w:rPr>
              <w:t>Verified official</w:t>
            </w:r>
          </w:p>
        </w:tc>
      </w:tr>
      <w:tr>
        <w:trPr>
          <w:cantSplit/>
        </w:trPr>
        <w:tc>
          <w:tcPr>
            <w:tcW w:type="dxa" w:w="680"/>
          </w:tcPr>
          <w:p>
            <w:r/>
            <w:r>
              <w:rPr>
                <w:sz w:val="17"/>
              </w:rPr>
              <w:t>AD2</w:t>
            </w:r>
          </w:p>
        </w:tc>
        <w:tc>
          <w:tcPr>
            <w:tcW w:type="dxa" w:w="2835"/>
          </w:tcPr>
          <w:p>
            <w:r/>
            <w:r>
              <w:rPr>
                <w:sz w:val="17"/>
              </w:rPr>
              <w:t>ADPHC - ADOSH-SF Codes of Practice index</w:t>
            </w:r>
          </w:p>
        </w:tc>
        <w:tc>
          <w:tcPr>
            <w:tcW w:type="dxa" w:w="3061"/>
          </w:tcPr>
          <w:p>
            <w:r/>
            <w:r>
              <w:rPr>
                <w:sz w:val="17"/>
              </w:rPr>
              <w:t>https://www.adphc.gov.ae/en/Legislation/Code-of-Practices</w:t>
            </w:r>
          </w:p>
        </w:tc>
        <w:tc>
          <w:tcPr>
            <w:tcW w:type="dxa" w:w="3061"/>
          </w:tcPr>
          <w:p>
            <w:r/>
            <w:r>
              <w:rPr>
                <w:sz w:val="17"/>
              </w:rPr>
              <w:t>Current code index for electrical, excavation, scaffolding, lifting, permit-to-work and accommodation.</w:t>
            </w:r>
          </w:p>
        </w:tc>
        <w:tc>
          <w:tcPr>
            <w:tcW w:type="dxa" w:w="1474"/>
          </w:tcPr>
          <w:p>
            <w:r/>
            <w:r>
              <w:rPr>
                <w:sz w:val="17"/>
              </w:rPr>
              <w:t>Verified official</w:t>
            </w:r>
          </w:p>
        </w:tc>
      </w:tr>
      <w:tr>
        <w:trPr>
          <w:cantSplit/>
        </w:trPr>
        <w:tc>
          <w:tcPr>
            <w:tcW w:type="dxa" w:w="680"/>
            <w:shd w:val="clear" w:color="auto" w:fill="F2F6FA"/>
          </w:tcPr>
          <w:p>
            <w:r/>
            <w:r>
              <w:rPr>
                <w:sz w:val="17"/>
              </w:rPr>
              <w:t>AD3</w:t>
            </w:r>
          </w:p>
        </w:tc>
        <w:tc>
          <w:tcPr>
            <w:tcW w:type="dxa" w:w="2835"/>
            <w:shd w:val="clear" w:color="auto" w:fill="F2F6FA"/>
          </w:tcPr>
          <w:p>
            <w:r/>
            <w:r>
              <w:rPr>
                <w:sz w:val="17"/>
              </w:rPr>
              <w:t>ADOSH-SF CoP 29.0 - Excavation Work</w:t>
            </w:r>
          </w:p>
        </w:tc>
        <w:tc>
          <w:tcPr>
            <w:tcW w:type="dxa" w:w="3061"/>
            <w:shd w:val="clear" w:color="auto" w:fill="F2F6FA"/>
          </w:tcPr>
          <w:p>
            <w:r/>
            <w:r>
              <w:rPr>
                <w:sz w:val="17"/>
              </w:rPr>
              <w:t>https://www.adphc.gov.ae/-/media/Project/ADPHC/ADPHC/PDF/OSHAD-SF/Codes-of-Practise/29---Excavation-Work--Eng.pdf</w:t>
            </w:r>
          </w:p>
        </w:tc>
        <w:tc>
          <w:tcPr>
            <w:tcW w:type="dxa" w:w="3061"/>
            <w:shd w:val="clear" w:color="auto" w:fill="F2F6FA"/>
          </w:tcPr>
          <w:p>
            <w:r/>
            <w:r>
              <w:rPr>
                <w:sz w:val="17"/>
              </w:rPr>
              <w:t>Excavation inspection, flooding, escape and silty-water discharge control.</w:t>
            </w:r>
          </w:p>
        </w:tc>
        <w:tc>
          <w:tcPr>
            <w:tcW w:type="dxa" w:w="1474"/>
            <w:shd w:val="clear" w:color="auto" w:fill="F2F6FA"/>
          </w:tcPr>
          <w:p>
            <w:r/>
            <w:r>
              <w:rPr>
                <w:sz w:val="17"/>
              </w:rPr>
              <w:t>Verified official</w:t>
            </w:r>
          </w:p>
        </w:tc>
      </w:tr>
      <w:tr>
        <w:trPr>
          <w:cantSplit/>
        </w:trPr>
        <w:tc>
          <w:tcPr>
            <w:tcW w:type="dxa" w:w="680"/>
          </w:tcPr>
          <w:p>
            <w:r/>
            <w:r>
              <w:rPr>
                <w:sz w:val="17"/>
              </w:rPr>
              <w:t>AD4</w:t>
            </w:r>
          </w:p>
        </w:tc>
        <w:tc>
          <w:tcPr>
            <w:tcW w:type="dxa" w:w="2835"/>
          </w:tcPr>
          <w:p>
            <w:r/>
            <w:r>
              <w:rPr>
                <w:sz w:val="17"/>
              </w:rPr>
              <w:t>ADOSH-SF CoP 15.0 - Electrical Safety</w:t>
            </w:r>
          </w:p>
        </w:tc>
        <w:tc>
          <w:tcPr>
            <w:tcW w:type="dxa" w:w="3061"/>
          </w:tcPr>
          <w:p>
            <w:r/>
            <w:r>
              <w:rPr>
                <w:sz w:val="17"/>
              </w:rPr>
              <w:t>https://www.adphc.gov.ae/-/media/Project/ADPHC/ADPHC/PDF/OSHAD-SF/Codes-of-Practise/15----Electrical-Safety--En.pdf</w:t>
            </w:r>
          </w:p>
        </w:tc>
        <w:tc>
          <w:tcPr>
            <w:tcW w:type="dxa" w:w="3061"/>
          </w:tcPr>
          <w:p>
            <w:r/>
            <w:r>
              <w:rPr>
                <w:sz w:val="17"/>
              </w:rPr>
              <w:t>Wet-location protection, construction RCD protection and 110 V temporary supply.</w:t>
            </w:r>
          </w:p>
        </w:tc>
        <w:tc>
          <w:tcPr>
            <w:tcW w:type="dxa" w:w="1474"/>
          </w:tcPr>
          <w:p>
            <w:r/>
            <w:r>
              <w:rPr>
                <w:sz w:val="17"/>
              </w:rPr>
              <w:t>Verified official</w:t>
            </w:r>
          </w:p>
        </w:tc>
      </w:tr>
      <w:tr>
        <w:trPr>
          <w:cantSplit/>
        </w:trPr>
        <w:tc>
          <w:tcPr>
            <w:tcW w:type="dxa" w:w="680"/>
            <w:shd w:val="clear" w:color="auto" w:fill="F2F6FA"/>
          </w:tcPr>
          <w:p>
            <w:r/>
            <w:r>
              <w:rPr>
                <w:sz w:val="17"/>
              </w:rPr>
              <w:t>AD5</w:t>
            </w:r>
          </w:p>
        </w:tc>
        <w:tc>
          <w:tcPr>
            <w:tcW w:type="dxa" w:w="2835"/>
            <w:shd w:val="clear" w:color="auto" w:fill="F2F6FA"/>
          </w:tcPr>
          <w:p>
            <w:r/>
            <w:r>
              <w:rPr>
                <w:sz w:val="17"/>
              </w:rPr>
              <w:t>ADOSH-SF CoP 26.0 - Scaffolding</w:t>
            </w:r>
          </w:p>
        </w:tc>
        <w:tc>
          <w:tcPr>
            <w:tcW w:type="dxa" w:w="3061"/>
            <w:shd w:val="clear" w:color="auto" w:fill="F2F6FA"/>
          </w:tcPr>
          <w:p>
            <w:r/>
            <w:r>
              <w:rPr>
                <w:sz w:val="17"/>
              </w:rPr>
              <w:t>https://www.adphc.gov.ae/-/media/Project/ADPHC/ADPHC/PDF/OSHAD-SF/Codes-of-Practise/26---Scaffolding--Eng.pdf</w:t>
            </w:r>
          </w:p>
        </w:tc>
        <w:tc>
          <w:tcPr>
            <w:tcW w:type="dxa" w:w="3061"/>
            <w:shd w:val="clear" w:color="auto" w:fill="F2F6FA"/>
          </w:tcPr>
          <w:p>
            <w:r/>
            <w:r>
              <w:rPr>
                <w:sz w:val="17"/>
              </w:rPr>
              <w:t>Weather-related scaffold restrictions and post-storm inspection records.</w:t>
            </w:r>
          </w:p>
        </w:tc>
        <w:tc>
          <w:tcPr>
            <w:tcW w:type="dxa" w:w="1474"/>
            <w:shd w:val="clear" w:color="auto" w:fill="F2F6FA"/>
          </w:tcPr>
          <w:p>
            <w:r/>
            <w:r>
              <w:rPr>
                <w:sz w:val="17"/>
              </w:rPr>
              <w:t>Verified official</w:t>
            </w:r>
          </w:p>
        </w:tc>
      </w:tr>
      <w:tr>
        <w:trPr>
          <w:cantSplit/>
        </w:trPr>
        <w:tc>
          <w:tcPr>
            <w:tcW w:type="dxa" w:w="680"/>
          </w:tcPr>
          <w:p>
            <w:r/>
            <w:r>
              <w:rPr>
                <w:sz w:val="17"/>
              </w:rPr>
              <w:t>AD6</w:t>
            </w:r>
          </w:p>
        </w:tc>
        <w:tc>
          <w:tcPr>
            <w:tcW w:type="dxa" w:w="2835"/>
          </w:tcPr>
          <w:p>
            <w:r/>
            <w:r>
              <w:rPr>
                <w:sz w:val="17"/>
              </w:rPr>
              <w:t>ADOSH-SF CoP 34.0 - Safe Use of Lifting Equipment and Lifting Accessories</w:t>
            </w:r>
          </w:p>
        </w:tc>
        <w:tc>
          <w:tcPr>
            <w:tcW w:type="dxa" w:w="3061"/>
          </w:tcPr>
          <w:p>
            <w:r/>
            <w:r>
              <w:rPr>
                <w:sz w:val="17"/>
              </w:rPr>
              <w:t>https://www.adphc.gov.ae/-/media/Project/ADPHC/ADPHC/PDF/OSHAD-SF/Codes-of-Practise/2026/COP-340--Safe-Use-of-Lifting-Equipment-and-Lifting-Accessories-v41-English.pdf</w:t>
            </w:r>
          </w:p>
        </w:tc>
        <w:tc>
          <w:tcPr>
            <w:tcW w:type="dxa" w:w="3061"/>
          </w:tcPr>
          <w:p>
            <w:r/>
            <w:r>
              <w:rPr>
                <w:sz w:val="17"/>
              </w:rPr>
              <w:t>Anemometers, meteorological reports, manufacturer limits and the 38 km/h cessation rule.</w:t>
            </w:r>
          </w:p>
        </w:tc>
        <w:tc>
          <w:tcPr>
            <w:tcW w:type="dxa" w:w="1474"/>
          </w:tcPr>
          <w:p>
            <w:r/>
            <w:r>
              <w:rPr>
                <w:sz w:val="17"/>
              </w:rPr>
              <w:t>Verified official</w:t>
            </w:r>
          </w:p>
        </w:tc>
      </w:tr>
      <w:tr>
        <w:trPr>
          <w:cantSplit/>
        </w:trPr>
        <w:tc>
          <w:tcPr>
            <w:tcW w:type="dxa" w:w="680"/>
            <w:shd w:val="clear" w:color="auto" w:fill="F2F6FA"/>
          </w:tcPr>
          <w:p>
            <w:r/>
            <w:r>
              <w:rPr>
                <w:sz w:val="17"/>
              </w:rPr>
              <w:t>AD7</w:t>
            </w:r>
          </w:p>
        </w:tc>
        <w:tc>
          <w:tcPr>
            <w:tcW w:type="dxa" w:w="2835"/>
            <w:shd w:val="clear" w:color="auto" w:fill="F2F6FA"/>
          </w:tcPr>
          <w:p>
            <w:r/>
            <w:r>
              <w:rPr>
                <w:sz w:val="17"/>
              </w:rPr>
              <w:t>EAD - Mangrove Restoration Guidelines for the UAE</w:t>
            </w:r>
          </w:p>
        </w:tc>
        <w:tc>
          <w:tcPr>
            <w:tcW w:type="dxa" w:w="3061"/>
            <w:shd w:val="clear" w:color="auto" w:fill="F2F6FA"/>
          </w:tcPr>
          <w:p>
            <w:r/>
            <w:r>
              <w:rPr>
                <w:sz w:val="17"/>
              </w:rPr>
              <w:t>https://www.ead.gov.ae/-/media/Project/EAD/EAD/Documents/KnowledgeHub/Resources-and-Materials/EAD6735_MANGROVE-INITIATIVE-GUIDELINES_v10b.pdf</w:t>
            </w:r>
          </w:p>
        </w:tc>
        <w:tc>
          <w:tcPr>
            <w:tcW w:type="dxa" w:w="3061"/>
            <w:shd w:val="clear" w:color="auto" w:fill="F2F6FA"/>
          </w:tcPr>
          <w:p>
            <w:r/>
            <w:r>
              <w:rPr>
                <w:sz w:val="17"/>
              </w:rPr>
              <w:t>Permit and avoidance controls around mangroves and sensitive receptors.</w:t>
            </w:r>
          </w:p>
        </w:tc>
        <w:tc>
          <w:tcPr>
            <w:tcW w:type="dxa" w:w="1474"/>
            <w:shd w:val="clear" w:color="auto" w:fill="F2F6FA"/>
          </w:tcPr>
          <w:p>
            <w:r/>
            <w:r>
              <w:rPr>
                <w:sz w:val="17"/>
              </w:rPr>
              <w:t>Verified official</w:t>
            </w:r>
          </w:p>
        </w:tc>
      </w:tr>
      <w:tr>
        <w:trPr>
          <w:cantSplit/>
        </w:trPr>
        <w:tc>
          <w:tcPr>
            <w:tcW w:type="dxa" w:w="680"/>
          </w:tcPr>
          <w:p>
            <w:r/>
            <w:r>
              <w:rPr>
                <w:sz w:val="17"/>
              </w:rPr>
              <w:t>DB1</w:t>
            </w:r>
          </w:p>
        </w:tc>
        <w:tc>
          <w:tcPr>
            <w:tcW w:type="dxa" w:w="2835"/>
          </w:tcPr>
          <w:p>
            <w:r/>
            <w:r>
              <w:rPr>
                <w:sz w:val="17"/>
              </w:rPr>
              <w:t>Dubai Municipality - Public Utility Services</w:t>
            </w:r>
          </w:p>
        </w:tc>
        <w:tc>
          <w:tcPr>
            <w:tcW w:type="dxa" w:w="3061"/>
          </w:tcPr>
          <w:p>
            <w:r/>
            <w:r>
              <w:rPr>
                <w:sz w:val="17"/>
              </w:rPr>
              <w:t>https://www.dm.gov.ae/public-utility-services-2/</w:t>
            </w:r>
          </w:p>
        </w:tc>
        <w:tc>
          <w:tcPr>
            <w:tcW w:type="dxa" w:w="3061"/>
          </w:tcPr>
          <w:p>
            <w:r/>
            <w:r>
              <w:rPr>
                <w:sz w:val="17"/>
              </w:rPr>
              <w:t>Dubai drainage, wastewater, rainwater pumping and public-health authority roles.</w:t>
            </w:r>
          </w:p>
        </w:tc>
        <w:tc>
          <w:tcPr>
            <w:tcW w:type="dxa" w:w="1474"/>
          </w:tcPr>
          <w:p>
            <w:r/>
            <w:r>
              <w:rPr>
                <w:sz w:val="17"/>
              </w:rPr>
              <w:t>Verified official</w:t>
            </w:r>
          </w:p>
        </w:tc>
      </w:tr>
      <w:tr>
        <w:trPr>
          <w:cantSplit/>
        </w:trPr>
        <w:tc>
          <w:tcPr>
            <w:tcW w:type="dxa" w:w="680"/>
            <w:shd w:val="clear" w:color="auto" w:fill="F2F6FA"/>
          </w:tcPr>
          <w:p>
            <w:r/>
            <w:r>
              <w:rPr>
                <w:sz w:val="17"/>
              </w:rPr>
              <w:t>DB2</w:t>
            </w:r>
          </w:p>
        </w:tc>
        <w:tc>
          <w:tcPr>
            <w:tcW w:type="dxa" w:w="2835"/>
            <w:shd w:val="clear" w:color="auto" w:fill="F2F6FA"/>
          </w:tcPr>
          <w:p>
            <w:r/>
            <w:r>
              <w:rPr>
                <w:sz w:val="17"/>
              </w:rPr>
              <w:t>Dubai Municipality - Environmental Clearance Requirements, Version 17 (24 April 2024)</w:t>
            </w:r>
          </w:p>
        </w:tc>
        <w:tc>
          <w:tcPr>
            <w:tcW w:type="dxa" w:w="3061"/>
            <w:shd w:val="clear" w:color="auto" w:fill="F2F6FA"/>
          </w:tcPr>
          <w:p>
            <w:r/>
            <w:r>
              <w:rPr>
                <w:sz w:val="17"/>
              </w:rPr>
              <w:t>https://dmpmedia.dm.gov.ae/uploads/2024/05/1.-Guidance-on-the-Environmental-Clearance-EC-Requirements-for-Development-Infrastructure-Industrial-Projects-in-the-Emirate-of-Dubai.pdf</w:t>
            </w:r>
          </w:p>
        </w:tc>
        <w:tc>
          <w:tcPr>
            <w:tcW w:type="dxa" w:w="3061"/>
            <w:shd w:val="clear" w:color="auto" w:fill="F2F6FA"/>
          </w:tcPr>
          <w:p>
            <w:r/>
            <w:r>
              <w:rPr>
                <w:sz w:val="17"/>
              </w:rPr>
              <w:t>EC, EIA and CECP triggers, records and environmental performance conditions.</w:t>
            </w:r>
          </w:p>
        </w:tc>
        <w:tc>
          <w:tcPr>
            <w:tcW w:type="dxa" w:w="1474"/>
            <w:shd w:val="clear" w:color="auto" w:fill="F2F6FA"/>
          </w:tcPr>
          <w:p>
            <w:r/>
            <w:r>
              <w:rPr>
                <w:sz w:val="17"/>
              </w:rPr>
              <w:t>Verified official</w:t>
            </w:r>
          </w:p>
        </w:tc>
      </w:tr>
      <w:tr>
        <w:trPr>
          <w:cantSplit/>
        </w:trPr>
        <w:tc>
          <w:tcPr>
            <w:tcW w:type="dxa" w:w="680"/>
          </w:tcPr>
          <w:p>
            <w:r/>
            <w:r>
              <w:rPr>
                <w:sz w:val="17"/>
              </w:rPr>
              <w:t>DB3</w:t>
            </w:r>
          </w:p>
        </w:tc>
        <w:tc>
          <w:tcPr>
            <w:tcW w:type="dxa" w:w="2835"/>
          </w:tcPr>
          <w:p>
            <w:r/>
            <w:r>
              <w:rPr>
                <w:sz w:val="17"/>
              </w:rPr>
              <w:t>Dubai Development Authority - Dewatering NOC</w:t>
            </w:r>
          </w:p>
        </w:tc>
        <w:tc>
          <w:tcPr>
            <w:tcW w:type="dxa" w:w="3061"/>
          </w:tcPr>
          <w:p>
            <w:r/>
            <w:r>
              <w:rPr>
                <w:sz w:val="17"/>
              </w:rPr>
              <w:t>https://dda.gov.ae/en/planning-development/construction/permits-nocs/dewatering-noc</w:t>
            </w:r>
          </w:p>
        </w:tc>
        <w:tc>
          <w:tcPr>
            <w:tcW w:type="dxa" w:w="3061"/>
          </w:tcPr>
          <w:p>
            <w:r/>
            <w:r>
              <w:rPr>
                <w:sz w:val="17"/>
              </w:rPr>
              <w:t>DDA-jurisdiction discharge NOC documents, route and validity.</w:t>
            </w:r>
          </w:p>
        </w:tc>
        <w:tc>
          <w:tcPr>
            <w:tcW w:type="dxa" w:w="1474"/>
          </w:tcPr>
          <w:p>
            <w:r/>
            <w:r>
              <w:rPr>
                <w:sz w:val="17"/>
              </w:rPr>
              <w:t>Verified official</w:t>
            </w:r>
          </w:p>
        </w:tc>
      </w:tr>
      <w:tr>
        <w:trPr>
          <w:cantSplit/>
        </w:trPr>
        <w:tc>
          <w:tcPr>
            <w:tcW w:type="dxa" w:w="680"/>
            <w:shd w:val="clear" w:color="auto" w:fill="F2F6FA"/>
          </w:tcPr>
          <w:p>
            <w:r/>
            <w:r>
              <w:rPr>
                <w:sz w:val="17"/>
              </w:rPr>
              <w:t>DB4</w:t>
            </w:r>
          </w:p>
        </w:tc>
        <w:tc>
          <w:tcPr>
            <w:tcW w:type="dxa" w:w="2835"/>
            <w:shd w:val="clear" w:color="auto" w:fill="F2F6FA"/>
          </w:tcPr>
          <w:p>
            <w:r/>
            <w:r>
              <w:rPr>
                <w:sz w:val="17"/>
              </w:rPr>
              <w:t>PCFC / Trakhees - Rules and Regulations</w:t>
            </w:r>
          </w:p>
        </w:tc>
        <w:tc>
          <w:tcPr>
            <w:tcW w:type="dxa" w:w="3061"/>
            <w:shd w:val="clear" w:color="auto" w:fill="F2F6FA"/>
          </w:tcPr>
          <w:p>
            <w:r/>
            <w:r>
              <w:rPr>
                <w:sz w:val="17"/>
              </w:rPr>
              <w:t>https://pcfc.ae/en/Pages/Trakhees-Rules-and-Regulations.aspx</w:t>
            </w:r>
          </w:p>
        </w:tc>
        <w:tc>
          <w:tcPr>
            <w:tcW w:type="dxa" w:w="3061"/>
            <w:shd w:val="clear" w:color="auto" w:fill="F2F6FA"/>
          </w:tcPr>
          <w:p>
            <w:r/>
            <w:r>
              <w:rPr>
                <w:sz w:val="17"/>
              </w:rPr>
              <w:t>Free-zone jurisdiction check for permits, construction safety and environment.</w:t>
            </w:r>
          </w:p>
        </w:tc>
        <w:tc>
          <w:tcPr>
            <w:tcW w:type="dxa" w:w="1474"/>
            <w:shd w:val="clear" w:color="auto" w:fill="F2F6FA"/>
          </w:tcPr>
          <w:p>
            <w:r/>
            <w:r>
              <w:rPr>
                <w:sz w:val="17"/>
              </w:rPr>
              <w:t>Verified official</w:t>
            </w:r>
          </w:p>
        </w:tc>
      </w:tr>
      <w:tr>
        <w:trPr>
          <w:cantSplit/>
        </w:trPr>
        <w:tc>
          <w:tcPr>
            <w:tcW w:type="dxa" w:w="680"/>
          </w:tcPr>
          <w:p>
            <w:r/>
            <w:r>
              <w:rPr>
                <w:sz w:val="17"/>
              </w:rPr>
              <w:t>DB5</w:t>
            </w:r>
          </w:p>
        </w:tc>
        <w:tc>
          <w:tcPr>
            <w:tcW w:type="dxa" w:w="2835"/>
          </w:tcPr>
          <w:p>
            <w:r/>
            <w:r>
              <w:rPr>
                <w:sz w:val="17"/>
              </w:rPr>
              <w:t>DEWA - Stay Safe and Powered: rainy season</w:t>
            </w:r>
          </w:p>
        </w:tc>
        <w:tc>
          <w:tcPr>
            <w:tcW w:type="dxa" w:w="3061"/>
          </w:tcPr>
          <w:p>
            <w:r/>
            <w:r>
              <w:rPr>
                <w:sz w:val="17"/>
              </w:rPr>
              <w:t>https://www.dewa.gov.ae/en/consumer/useful-tools/waterproofing-electricity</w:t>
            </w:r>
          </w:p>
        </w:tc>
        <w:tc>
          <w:tcPr>
            <w:tcW w:type="dxa" w:w="3061"/>
          </w:tcPr>
          <w:p>
            <w:r/>
            <w:r>
              <w:rPr>
                <w:sz w:val="17"/>
              </w:rPr>
              <w:t>Water-entry prevention, earthing and post-rain electrical precautions.</w:t>
            </w:r>
          </w:p>
        </w:tc>
        <w:tc>
          <w:tcPr>
            <w:tcW w:type="dxa" w:w="1474"/>
          </w:tcPr>
          <w:p>
            <w:r/>
            <w:r>
              <w:rPr>
                <w:sz w:val="17"/>
              </w:rPr>
              <w:t>Verified official</w:t>
            </w:r>
          </w:p>
        </w:tc>
      </w:tr>
      <w:tr>
        <w:trPr>
          <w:cantSplit/>
        </w:trPr>
        <w:tc>
          <w:tcPr>
            <w:tcW w:type="dxa" w:w="680"/>
            <w:shd w:val="clear" w:color="auto" w:fill="F2F6FA"/>
          </w:tcPr>
          <w:p>
            <w:r/>
            <w:r>
              <w:rPr>
                <w:sz w:val="17"/>
              </w:rPr>
              <w:t>DB6</w:t>
            </w:r>
          </w:p>
        </w:tc>
        <w:tc>
          <w:tcPr>
            <w:tcW w:type="dxa" w:w="2835"/>
            <w:shd w:val="clear" w:color="auto" w:fill="F2F6FA"/>
          </w:tcPr>
          <w:p>
            <w:r/>
            <w:r>
              <w:rPr>
                <w:sz w:val="17"/>
              </w:rPr>
              <w:t>DEWA - circulars and regulations</w:t>
            </w:r>
          </w:p>
        </w:tc>
        <w:tc>
          <w:tcPr>
            <w:tcW w:type="dxa" w:w="3061"/>
            <w:shd w:val="clear" w:color="auto" w:fill="F2F6FA"/>
          </w:tcPr>
          <w:p>
            <w:r/>
            <w:r>
              <w:rPr>
                <w:sz w:val="17"/>
              </w:rPr>
              <w:t>https://dewa.gov.ae/en/builder/useful-tools/dewa-circulars</w:t>
            </w:r>
          </w:p>
        </w:tc>
        <w:tc>
          <w:tcPr>
            <w:tcW w:type="dxa" w:w="3061"/>
            <w:shd w:val="clear" w:color="auto" w:fill="F2F6FA"/>
          </w:tcPr>
          <w:p>
            <w:r/>
            <w:r>
              <w:rPr>
                <w:sz w:val="17"/>
              </w:rPr>
              <w:t>Temporary construction power, service cable and 2024 water-ingress requirements.</w:t>
            </w:r>
          </w:p>
        </w:tc>
        <w:tc>
          <w:tcPr>
            <w:tcW w:type="dxa" w:w="1474"/>
            <w:shd w:val="clear" w:color="auto" w:fill="F2F6FA"/>
          </w:tcPr>
          <w:p>
            <w:r/>
            <w:r>
              <w:rPr>
                <w:sz w:val="17"/>
              </w:rPr>
              <w:t>Verified official</w:t>
            </w:r>
          </w:p>
        </w:tc>
      </w:tr>
      <w:tr>
        <w:trPr>
          <w:cantSplit/>
        </w:trPr>
        <w:tc>
          <w:tcPr>
            <w:tcW w:type="dxa" w:w="680"/>
          </w:tcPr>
          <w:p>
            <w:r/>
            <w:r>
              <w:rPr>
                <w:sz w:val="17"/>
              </w:rPr>
              <w:t>DB7</w:t>
            </w:r>
          </w:p>
        </w:tc>
        <w:tc>
          <w:tcPr>
            <w:tcW w:type="dxa" w:w="2835"/>
          </w:tcPr>
          <w:p>
            <w:r/>
            <w:r>
              <w:rPr>
                <w:sz w:val="17"/>
              </w:rPr>
              <w:t>Dubai Civil Defence - UAE Fire and Life Safety Code of Practice</w:t>
            </w:r>
          </w:p>
        </w:tc>
        <w:tc>
          <w:tcPr>
            <w:tcW w:type="dxa" w:w="3061"/>
          </w:tcPr>
          <w:p>
            <w:r/>
            <w:r>
              <w:rPr>
                <w:sz w:val="17"/>
              </w:rPr>
              <w:t>https://dcd.gov.ae/portal/preventive-safety/uae-fire-and-life-safety-code-of-practice.jsp</w:t>
            </w:r>
          </w:p>
        </w:tc>
        <w:tc>
          <w:tcPr>
            <w:tcW w:type="dxa" w:w="3061"/>
          </w:tcPr>
          <w:p>
            <w:r/>
            <w:r>
              <w:rPr>
                <w:sz w:val="17"/>
              </w:rPr>
              <w:t>Fire and life-safety construction, access, egress and emergency-system reference.</w:t>
            </w:r>
          </w:p>
        </w:tc>
        <w:tc>
          <w:tcPr>
            <w:tcW w:type="dxa" w:w="1474"/>
          </w:tcPr>
          <w:p>
            <w:r/>
            <w:r>
              <w:rPr>
                <w:sz w:val="17"/>
              </w:rPr>
              <w:t>Verified official</w:t>
            </w:r>
          </w:p>
        </w:tc>
      </w:tr>
      <w:tr>
        <w:trPr>
          <w:cantSplit/>
        </w:trPr>
        <w:tc>
          <w:tcPr>
            <w:tcW w:type="dxa" w:w="680"/>
            <w:shd w:val="clear" w:color="auto" w:fill="F2F6FA"/>
          </w:tcPr>
          <w:p>
            <w:r/>
            <w:r>
              <w:rPr>
                <w:sz w:val="17"/>
              </w:rPr>
              <w:t>DB8</w:t>
            </w:r>
          </w:p>
        </w:tc>
        <w:tc>
          <w:tcPr>
            <w:tcW w:type="dxa" w:w="2835"/>
            <w:shd w:val="clear" w:color="auto" w:fill="F2F6FA"/>
          </w:tcPr>
          <w:p>
            <w:r/>
            <w:r>
              <w:rPr>
                <w:sz w:val="17"/>
              </w:rPr>
              <w:t>Dubai Building Code 2021</w:t>
            </w:r>
          </w:p>
        </w:tc>
        <w:tc>
          <w:tcPr>
            <w:tcW w:type="dxa" w:w="3061"/>
            <w:shd w:val="clear" w:color="auto" w:fill="F2F6FA"/>
          </w:tcPr>
          <w:p>
            <w:r/>
            <w:r>
              <w:rPr>
                <w:sz w:val="17"/>
              </w:rPr>
              <w:t>https://dmpmedia.dm.gov.ae/uploads/2021/12/Dubai%20Building%20Code_English%202021%20Edition_compressed.pdf</w:t>
            </w:r>
          </w:p>
        </w:tc>
        <w:tc>
          <w:tcPr>
            <w:tcW w:type="dxa" w:w="3061"/>
            <w:shd w:val="clear" w:color="auto" w:fill="F2F6FA"/>
          </w:tcPr>
          <w:p>
            <w:r/>
            <w:r>
              <w:rPr>
                <w:sz w:val="17"/>
              </w:rPr>
              <w:t>Gate, level, ramp and drained-access flood-resilience requirements.</w:t>
            </w:r>
          </w:p>
        </w:tc>
        <w:tc>
          <w:tcPr>
            <w:tcW w:type="dxa" w:w="1474"/>
            <w:shd w:val="clear" w:color="auto" w:fill="F2F6FA"/>
          </w:tcPr>
          <w:p>
            <w:r/>
            <w:r>
              <w:rPr>
                <w:sz w:val="17"/>
              </w:rPr>
              <w:t>Verified official</w:t>
            </w:r>
          </w:p>
        </w:tc>
      </w:tr>
      <w:tr>
        <w:trPr>
          <w:cantSplit/>
        </w:trPr>
        <w:tc>
          <w:tcPr>
            <w:tcW w:type="dxa" w:w="680"/>
          </w:tcPr>
          <w:p>
            <w:r/>
            <w:r>
              <w:rPr>
                <w:sz w:val="17"/>
              </w:rPr>
              <w:t>DB9</w:t>
            </w:r>
          </w:p>
        </w:tc>
        <w:tc>
          <w:tcPr>
            <w:tcW w:type="dxa" w:w="2835"/>
          </w:tcPr>
          <w:p>
            <w:r/>
            <w:r>
              <w:rPr>
                <w:sz w:val="17"/>
              </w:rPr>
              <w:t>Dubai Municipality - technical guidelines list</w:t>
            </w:r>
          </w:p>
        </w:tc>
        <w:tc>
          <w:tcPr>
            <w:tcW w:type="dxa" w:w="3061"/>
          </w:tcPr>
          <w:p>
            <w:r/>
            <w:r>
              <w:rPr>
                <w:sz w:val="17"/>
              </w:rPr>
              <w:t>https://www.dm.gov.ae/municipality-business/technical-guidelines-list/</w:t>
            </w:r>
          </w:p>
        </w:tc>
        <w:tc>
          <w:tcPr>
            <w:tcW w:type="dxa" w:w="3061"/>
          </w:tcPr>
          <w:p>
            <w:r/>
            <w:r>
              <w:rPr>
                <w:sz w:val="17"/>
              </w:rPr>
              <w:t>Current controlled safety, risk, lifting, accommodation and water-system guidance index.</w:t>
            </w:r>
          </w:p>
        </w:tc>
        <w:tc>
          <w:tcPr>
            <w:tcW w:type="dxa" w:w="1474"/>
          </w:tcPr>
          <w:p>
            <w:r/>
            <w:r>
              <w:rPr>
                <w:sz w:val="17"/>
              </w:rPr>
              <w:t>Verified official</w:t>
            </w:r>
          </w:p>
        </w:tc>
      </w:tr>
      <w:tr>
        <w:trPr>
          <w:cantSplit/>
        </w:trPr>
        <w:tc>
          <w:tcPr>
            <w:tcW w:type="dxa" w:w="680"/>
            <w:shd w:val="clear" w:color="auto" w:fill="F2F6FA"/>
          </w:tcPr>
          <w:p>
            <w:r/>
            <w:r>
              <w:rPr>
                <w:sz w:val="17"/>
              </w:rPr>
              <w:t>SH1</w:t>
            </w:r>
          </w:p>
        </w:tc>
        <w:tc>
          <w:tcPr>
            <w:tcW w:type="dxa" w:w="2835"/>
            <w:shd w:val="clear" w:color="auto" w:fill="F2F6FA"/>
          </w:tcPr>
          <w:p>
            <w:r/>
            <w:r>
              <w:rPr>
                <w:sz w:val="17"/>
              </w:rPr>
              <w:t>Sharjah City Municipality - drainage e-service</w:t>
            </w:r>
          </w:p>
        </w:tc>
        <w:tc>
          <w:tcPr>
            <w:tcW w:type="dxa" w:w="3061"/>
            <w:shd w:val="clear" w:color="auto" w:fill="F2F6FA"/>
          </w:tcPr>
          <w:p>
            <w:r/>
            <w:r>
              <w:rPr>
                <w:sz w:val="17"/>
              </w:rPr>
              <w:t>https://www.shjmun.gov.ae/PublicEServices/Serv6-Drainge/Default.aspx?Lang=AR-AE</w:t>
            </w:r>
          </w:p>
        </w:tc>
        <w:tc>
          <w:tcPr>
            <w:tcW w:type="dxa" w:w="3061"/>
            <w:shd w:val="clear" w:color="auto" w:fill="F2F6FA"/>
          </w:tcPr>
          <w:p>
            <w:r/>
            <w:r>
              <w:rPr>
                <w:sz w:val="17"/>
              </w:rPr>
              <w:t>Official drainage-service route; obtain project-specific technical conditions directly.</w:t>
            </w:r>
          </w:p>
        </w:tc>
        <w:tc>
          <w:tcPr>
            <w:tcW w:type="dxa" w:w="1474"/>
            <w:shd w:val="clear" w:color="auto" w:fill="F2F6FA"/>
          </w:tcPr>
          <w:p>
            <w:r/>
            <w:r>
              <w:rPr>
                <w:sz w:val="17"/>
              </w:rPr>
              <w:t>Official route; technical criteria not public</w:t>
            </w:r>
          </w:p>
        </w:tc>
      </w:tr>
      <w:tr>
        <w:trPr>
          <w:cantSplit/>
        </w:trPr>
        <w:tc>
          <w:tcPr>
            <w:tcW w:type="dxa" w:w="680"/>
          </w:tcPr>
          <w:p>
            <w:r/>
            <w:r>
              <w:rPr>
                <w:sz w:val="17"/>
              </w:rPr>
              <w:t>SH2</w:t>
            </w:r>
          </w:p>
        </w:tc>
        <w:tc>
          <w:tcPr>
            <w:tcW w:type="dxa" w:w="2835"/>
          </w:tcPr>
          <w:p>
            <w:r/>
            <w:r>
              <w:rPr>
                <w:sz w:val="17"/>
              </w:rPr>
              <w:t>Sharjah emergency numbers</w:t>
            </w:r>
          </w:p>
        </w:tc>
        <w:tc>
          <w:tcPr>
            <w:tcW w:type="dxa" w:w="3061"/>
          </w:tcPr>
          <w:p>
            <w:r/>
            <w:r>
              <w:rPr>
                <w:sz w:val="17"/>
              </w:rPr>
              <w:t>https://sssd.shj.ae/en/sos-numbers</w:t>
            </w:r>
          </w:p>
        </w:tc>
        <w:tc>
          <w:tcPr>
            <w:tcW w:type="dxa" w:w="3061"/>
          </w:tcPr>
          <w:p>
            <w:r/>
            <w:r>
              <w:rPr>
                <w:sz w:val="17"/>
              </w:rPr>
              <w:t>Municipal 993, SEWA 991 and emergency routing.</w:t>
            </w:r>
          </w:p>
        </w:tc>
        <w:tc>
          <w:tcPr>
            <w:tcW w:type="dxa" w:w="1474"/>
          </w:tcPr>
          <w:p>
            <w:r/>
            <w:r>
              <w:rPr>
                <w:sz w:val="17"/>
              </w:rPr>
              <w:t>Verified official</w:t>
            </w:r>
          </w:p>
        </w:tc>
      </w:tr>
      <w:tr>
        <w:trPr>
          <w:cantSplit/>
        </w:trPr>
        <w:tc>
          <w:tcPr>
            <w:tcW w:type="dxa" w:w="680"/>
            <w:shd w:val="clear" w:color="auto" w:fill="F2F6FA"/>
          </w:tcPr>
          <w:p>
            <w:r/>
            <w:r>
              <w:rPr>
                <w:sz w:val="17"/>
              </w:rPr>
              <w:t>SH3</w:t>
            </w:r>
          </w:p>
        </w:tc>
        <w:tc>
          <w:tcPr>
            <w:tcW w:type="dxa" w:w="2835"/>
            <w:shd w:val="clear" w:color="auto" w:fill="F2F6FA"/>
          </w:tcPr>
          <w:p>
            <w:r/>
            <w:r>
              <w:rPr>
                <w:sz w:val="17"/>
              </w:rPr>
              <w:t>Sharjah Civil Defence Authority - about us</w:t>
            </w:r>
          </w:p>
        </w:tc>
        <w:tc>
          <w:tcPr>
            <w:tcW w:type="dxa" w:w="3061"/>
            <w:shd w:val="clear" w:color="auto" w:fill="F2F6FA"/>
          </w:tcPr>
          <w:p>
            <w:r/>
            <w:r>
              <w:rPr>
                <w:sz w:val="17"/>
              </w:rPr>
              <w:t>https://scda.shj.ae/en/about/about-us</w:t>
            </w:r>
          </w:p>
        </w:tc>
        <w:tc>
          <w:tcPr>
            <w:tcW w:type="dxa" w:w="3061"/>
            <w:shd w:val="clear" w:color="auto" w:fill="F2F6FA"/>
          </w:tcPr>
          <w:p>
            <w:r/>
            <w:r>
              <w:rPr>
                <w:sz w:val="17"/>
              </w:rPr>
              <w:t>Fire prevention, inspection, enforcement, rescue and response role.</w:t>
            </w:r>
          </w:p>
        </w:tc>
        <w:tc>
          <w:tcPr>
            <w:tcW w:type="dxa" w:w="1474"/>
            <w:shd w:val="clear" w:color="auto" w:fill="F2F6FA"/>
          </w:tcPr>
          <w:p>
            <w:r/>
            <w:r>
              <w:rPr>
                <w:sz w:val="17"/>
              </w:rPr>
              <w:t>Verified official</w:t>
            </w:r>
          </w:p>
        </w:tc>
      </w:tr>
      <w:tr>
        <w:trPr>
          <w:cantSplit/>
        </w:trPr>
        <w:tc>
          <w:tcPr>
            <w:tcW w:type="dxa" w:w="680"/>
          </w:tcPr>
          <w:p>
            <w:r/>
            <w:r>
              <w:rPr>
                <w:sz w:val="17"/>
              </w:rPr>
              <w:t>SH4</w:t>
            </w:r>
          </w:p>
        </w:tc>
        <w:tc>
          <w:tcPr>
            <w:tcW w:type="dxa" w:w="2835"/>
          </w:tcPr>
          <w:p>
            <w:r/>
            <w:r>
              <w:rPr>
                <w:sz w:val="17"/>
              </w:rPr>
              <w:t>SEWA official portal</w:t>
            </w:r>
          </w:p>
        </w:tc>
        <w:tc>
          <w:tcPr>
            <w:tcW w:type="dxa" w:w="3061"/>
          </w:tcPr>
          <w:p>
            <w:r/>
            <w:r>
              <w:rPr>
                <w:sz w:val="17"/>
              </w:rPr>
              <w:t>https://www.sewa.gov.ae/</w:t>
            </w:r>
          </w:p>
        </w:tc>
        <w:tc>
          <w:tcPr>
            <w:tcW w:type="dxa" w:w="3061"/>
          </w:tcPr>
          <w:p>
            <w:r/>
            <w:r>
              <w:rPr>
                <w:sz w:val="17"/>
              </w:rPr>
              <w:t>Electricity, potable water, connections and utility role.</w:t>
            </w:r>
          </w:p>
        </w:tc>
        <w:tc>
          <w:tcPr>
            <w:tcW w:type="dxa" w:w="1474"/>
          </w:tcPr>
          <w:p>
            <w:r/>
            <w:r>
              <w:rPr>
                <w:sz w:val="17"/>
              </w:rPr>
              <w:t>Verified official</w:t>
            </w:r>
          </w:p>
        </w:tc>
      </w:tr>
      <w:tr>
        <w:trPr>
          <w:cantSplit/>
        </w:trPr>
        <w:tc>
          <w:tcPr>
            <w:tcW w:type="dxa" w:w="680"/>
            <w:shd w:val="clear" w:color="auto" w:fill="F2F6FA"/>
          </w:tcPr>
          <w:p>
            <w:r/>
            <w:r>
              <w:rPr>
                <w:sz w:val="17"/>
              </w:rPr>
              <w:t>SH5</w:t>
            </w:r>
          </w:p>
        </w:tc>
        <w:tc>
          <w:tcPr>
            <w:tcW w:type="dxa" w:w="2835"/>
            <w:shd w:val="clear" w:color="auto" w:fill="F2F6FA"/>
          </w:tcPr>
          <w:p>
            <w:r/>
            <w:r>
              <w:rPr>
                <w:sz w:val="17"/>
              </w:rPr>
              <w:t>HFZA Engineering, EHS Investors Information Kit</w:t>
            </w:r>
          </w:p>
        </w:tc>
        <w:tc>
          <w:tcPr>
            <w:tcW w:type="dxa" w:w="3061"/>
            <w:shd w:val="clear" w:color="auto" w:fill="F2F6FA"/>
          </w:tcPr>
          <w:p>
            <w:r/>
            <w:r>
              <w:rPr>
                <w:sz w:val="17"/>
              </w:rPr>
              <w:t>https://hfza.ae/wp-content/uploads/2020/09/HFZA_EEHS_Investors_Information_Kit.pdf</w:t>
            </w:r>
          </w:p>
        </w:tc>
        <w:tc>
          <w:tcPr>
            <w:tcW w:type="dxa" w:w="3061"/>
            <w:shd w:val="clear" w:color="auto" w:fill="F2F6FA"/>
          </w:tcPr>
          <w:p>
            <w:r/>
            <w:r>
              <w:rPr>
                <w:sz w:val="17"/>
              </w:rPr>
              <w:t>Hamriyah permits, SEWA NOCs, permit-to-work, scaffold and excavation controls.</w:t>
            </w:r>
          </w:p>
        </w:tc>
        <w:tc>
          <w:tcPr>
            <w:tcW w:type="dxa" w:w="1474"/>
            <w:shd w:val="clear" w:color="auto" w:fill="F2F6FA"/>
          </w:tcPr>
          <w:p>
            <w:r/>
            <w:r>
              <w:rPr>
                <w:sz w:val="17"/>
              </w:rPr>
              <w:t>Verified official</w:t>
            </w:r>
          </w:p>
        </w:tc>
      </w:tr>
      <w:tr>
        <w:trPr>
          <w:cantSplit/>
        </w:trPr>
        <w:tc>
          <w:tcPr>
            <w:tcW w:type="dxa" w:w="680"/>
          </w:tcPr>
          <w:p>
            <w:r/>
            <w:r>
              <w:rPr>
                <w:sz w:val="17"/>
              </w:rPr>
              <w:t>SH6</w:t>
            </w:r>
          </w:p>
        </w:tc>
        <w:tc>
          <w:tcPr>
            <w:tcW w:type="dxa" w:w="2835"/>
          </w:tcPr>
          <w:p>
            <w:r/>
            <w:r>
              <w:rPr>
                <w:sz w:val="17"/>
              </w:rPr>
              <w:t>EPAA Sharjah official portal</w:t>
            </w:r>
          </w:p>
        </w:tc>
        <w:tc>
          <w:tcPr>
            <w:tcW w:type="dxa" w:w="3061"/>
          </w:tcPr>
          <w:p>
            <w:r/>
            <w:r>
              <w:rPr>
                <w:sz w:val="17"/>
              </w:rPr>
              <w:t>https://epaashj.ae/</w:t>
            </w:r>
          </w:p>
        </w:tc>
        <w:tc>
          <w:tcPr>
            <w:tcW w:type="dxa" w:w="3061"/>
          </w:tcPr>
          <w:p>
            <w:r/>
            <w:r>
              <w:rPr>
                <w:sz w:val="17"/>
              </w:rPr>
              <w:t>Protected areas and the local environmental-regulator route.</w:t>
            </w:r>
          </w:p>
        </w:tc>
        <w:tc>
          <w:tcPr>
            <w:tcW w:type="dxa" w:w="1474"/>
          </w:tcPr>
          <w:p>
            <w:r/>
            <w:r>
              <w:rPr>
                <w:sz w:val="17"/>
              </w:rPr>
              <w:t>Verified official</w:t>
            </w:r>
          </w:p>
        </w:tc>
      </w:tr>
      <w:tr>
        <w:trPr>
          <w:cantSplit/>
        </w:trPr>
        <w:tc>
          <w:tcPr>
            <w:tcW w:type="dxa" w:w="680"/>
            <w:shd w:val="clear" w:color="auto" w:fill="F2F6FA"/>
          </w:tcPr>
          <w:p>
            <w:r/>
            <w:r>
              <w:rPr>
                <w:sz w:val="17"/>
              </w:rPr>
              <w:t>SH7</w:t>
            </w:r>
          </w:p>
        </w:tc>
        <w:tc>
          <w:tcPr>
            <w:tcW w:type="dxa" w:w="2835"/>
            <w:shd w:val="clear" w:color="auto" w:fill="F2F6FA"/>
          </w:tcPr>
          <w:p>
            <w:r/>
            <w:r>
              <w:rPr>
                <w:sz w:val="17"/>
              </w:rPr>
              <w:t>Sharjah Government - environmental permit service</w:t>
            </w:r>
          </w:p>
        </w:tc>
        <w:tc>
          <w:tcPr>
            <w:tcW w:type="dxa" w:w="3061"/>
            <w:shd w:val="clear" w:color="auto" w:fill="F2F6FA"/>
          </w:tcPr>
          <w:p>
            <w:r/>
            <w:r>
              <w:rPr>
                <w:sz w:val="17"/>
              </w:rPr>
              <w:t>https://ec.shj.ae/en/government-service-details?serviceId=5308133a36845e9dc9d24976e63fc790e67ba95cb6ef6fc504b716c4c75304fdd5bd7fe86c8653631a331c28208a458f</w:t>
            </w:r>
          </w:p>
        </w:tc>
        <w:tc>
          <w:tcPr>
            <w:tcW w:type="dxa" w:w="3061"/>
            <w:shd w:val="clear" w:color="auto" w:fill="F2F6FA"/>
          </w:tcPr>
          <w:p>
            <w:r/>
            <w:r>
              <w:rPr>
                <w:sz w:val="17"/>
              </w:rPr>
              <w:t>Environmental activity-risk classification and permitting route.</w:t>
            </w:r>
          </w:p>
        </w:tc>
        <w:tc>
          <w:tcPr>
            <w:tcW w:type="dxa" w:w="1474"/>
            <w:shd w:val="clear" w:color="auto" w:fill="F2F6FA"/>
          </w:tcPr>
          <w:p>
            <w:r/>
            <w:r>
              <w:rPr>
                <w:sz w:val="17"/>
              </w:rPr>
              <w:t>Verified official</w:t>
            </w:r>
          </w:p>
        </w:tc>
      </w:tr>
      <w:tr>
        <w:trPr>
          <w:cantSplit/>
        </w:trPr>
        <w:tc>
          <w:tcPr>
            <w:tcW w:type="dxa" w:w="680"/>
          </w:tcPr>
          <w:p>
            <w:r/>
            <w:r>
              <w:rPr>
                <w:sz w:val="17"/>
              </w:rPr>
              <w:t>SH8</w:t>
            </w:r>
          </w:p>
        </w:tc>
        <w:tc>
          <w:tcPr>
            <w:tcW w:type="dxa" w:w="2835"/>
          </w:tcPr>
          <w:p>
            <w:r/>
            <w:r>
              <w:rPr>
                <w:sz w:val="17"/>
              </w:rPr>
              <w:t>BEEAH - waste recycling and processing</w:t>
            </w:r>
          </w:p>
        </w:tc>
        <w:tc>
          <w:tcPr>
            <w:tcW w:type="dxa" w:w="3061"/>
          </w:tcPr>
          <w:p>
            <w:r/>
            <w:r>
              <w:rPr>
                <w:sz w:val="17"/>
              </w:rPr>
              <w:t>https://www.beeahgroup.com/services/waste-recycling-processing/</w:t>
            </w:r>
          </w:p>
        </w:tc>
        <w:tc>
          <w:tcPr>
            <w:tcW w:type="dxa" w:w="3061"/>
          </w:tcPr>
          <w:p>
            <w:r/>
            <w:r>
              <w:rPr>
                <w:sz w:val="17"/>
              </w:rPr>
              <w:t>C&amp;D, industrial wastewater and licensed waste-route context.</w:t>
            </w:r>
          </w:p>
        </w:tc>
        <w:tc>
          <w:tcPr>
            <w:tcW w:type="dxa" w:w="1474"/>
          </w:tcPr>
          <w:p>
            <w:r/>
            <w:r>
              <w:rPr>
                <w:sz w:val="17"/>
              </w:rPr>
              <w:t>Verified official</w:t>
            </w:r>
          </w:p>
        </w:tc>
      </w:tr>
      <w:tr>
        <w:trPr>
          <w:cantSplit/>
        </w:trPr>
        <w:tc>
          <w:tcPr>
            <w:tcW w:type="dxa" w:w="680"/>
            <w:shd w:val="clear" w:color="auto" w:fill="F2F6FA"/>
          </w:tcPr>
          <w:p>
            <w:r/>
            <w:r>
              <w:rPr>
                <w:sz w:val="17"/>
              </w:rPr>
              <w:t>SH9</w:t>
            </w:r>
          </w:p>
        </w:tc>
        <w:tc>
          <w:tcPr>
            <w:tcW w:type="dxa" w:w="2835"/>
            <w:shd w:val="clear" w:color="auto" w:fill="F2F6FA"/>
          </w:tcPr>
          <w:p>
            <w:r/>
            <w:r>
              <w:rPr>
                <w:sz w:val="17"/>
              </w:rPr>
              <w:t>WAM - Sharjah Urban Planning Council dissolution</w:t>
            </w:r>
          </w:p>
        </w:tc>
        <w:tc>
          <w:tcPr>
            <w:tcW w:type="dxa" w:w="3061"/>
            <w:shd w:val="clear" w:color="auto" w:fill="F2F6FA"/>
          </w:tcPr>
          <w:p>
            <w:r/>
            <w:r>
              <w:rPr>
                <w:sz w:val="17"/>
              </w:rPr>
              <w:t>https://www.wam.ae/en/article/b4f7n21-sharjah-ruler-dissolves-sharjah-urban-planning</w:t>
            </w:r>
          </w:p>
        </w:tc>
        <w:tc>
          <w:tcPr>
            <w:tcW w:type="dxa" w:w="3061"/>
            <w:shd w:val="clear" w:color="auto" w:fill="F2F6FA"/>
          </w:tcPr>
          <w:p>
            <w:r/>
            <w:r>
              <w:rPr>
                <w:sz w:val="17"/>
              </w:rPr>
              <w:t>Confirms the former UPC is not a current generic approval route.</w:t>
            </w:r>
          </w:p>
        </w:tc>
        <w:tc>
          <w:tcPr>
            <w:tcW w:type="dxa" w:w="1474"/>
            <w:shd w:val="clear" w:color="auto" w:fill="F2F6FA"/>
          </w:tcPr>
          <w:p>
            <w:r/>
            <w:r>
              <w:rPr>
                <w:sz w:val="17"/>
              </w:rPr>
              <w:t>Verified official news</w:t>
            </w:r>
          </w:p>
        </w:tc>
      </w:tr>
      <w:tr>
        <w:trPr>
          <w:cantSplit/>
        </w:trPr>
        <w:tc>
          <w:tcPr>
            <w:tcW w:type="dxa" w:w="680"/>
          </w:tcPr>
          <w:p>
            <w:r/>
            <w:r>
              <w:rPr>
                <w:sz w:val="17"/>
              </w:rPr>
              <w:t>AJ1</w:t>
            </w:r>
          </w:p>
        </w:tc>
        <w:tc>
          <w:tcPr>
            <w:tcW w:type="dxa" w:w="2835"/>
          </w:tcPr>
          <w:p>
            <w:r/>
            <w:r>
              <w:rPr>
                <w:sz w:val="17"/>
              </w:rPr>
              <w:t>Ajman Municipality and Planning Department - building permit request</w:t>
            </w:r>
          </w:p>
        </w:tc>
        <w:tc>
          <w:tcPr>
            <w:tcW w:type="dxa" w:w="3061"/>
          </w:tcPr>
          <w:p>
            <w:r/>
            <w:r>
              <w:rPr>
                <w:sz w:val="17"/>
              </w:rPr>
              <w:t>https://www.am.gov.ae/en/services/building-permit-request/</w:t>
            </w:r>
          </w:p>
        </w:tc>
        <w:tc>
          <w:tcPr>
            <w:tcW w:type="dxa" w:w="3061"/>
          </w:tcPr>
          <w:p>
            <w:r/>
            <w:r>
              <w:rPr>
                <w:sz w:val="17"/>
              </w:rPr>
              <w:t>Building drawings and applicable utility, sewer and Civil Defence approvals.</w:t>
            </w:r>
          </w:p>
        </w:tc>
        <w:tc>
          <w:tcPr>
            <w:tcW w:type="dxa" w:w="1474"/>
          </w:tcPr>
          <w:p>
            <w:r/>
            <w:r>
              <w:rPr>
                <w:sz w:val="17"/>
              </w:rPr>
              <w:t>Verified official</w:t>
            </w:r>
          </w:p>
        </w:tc>
      </w:tr>
      <w:tr>
        <w:trPr>
          <w:cantSplit/>
        </w:trPr>
        <w:tc>
          <w:tcPr>
            <w:tcW w:type="dxa" w:w="680"/>
            <w:shd w:val="clear" w:color="auto" w:fill="F2F6FA"/>
          </w:tcPr>
          <w:p>
            <w:r/>
            <w:r>
              <w:rPr>
                <w:sz w:val="17"/>
              </w:rPr>
              <w:t>AJ2</w:t>
            </w:r>
          </w:p>
        </w:tc>
        <w:tc>
          <w:tcPr>
            <w:tcW w:type="dxa" w:w="2835"/>
            <w:shd w:val="clear" w:color="auto" w:fill="F2F6FA"/>
          </w:tcPr>
          <w:p>
            <w:r/>
            <w:r>
              <w:rPr>
                <w:sz w:val="17"/>
              </w:rPr>
              <w:t>Ajman Municipality - emergency numbers</w:t>
            </w:r>
          </w:p>
        </w:tc>
        <w:tc>
          <w:tcPr>
            <w:tcW w:type="dxa" w:w="3061"/>
            <w:shd w:val="clear" w:color="auto" w:fill="F2F6FA"/>
          </w:tcPr>
          <w:p>
            <w:r/>
            <w:r>
              <w:rPr>
                <w:sz w:val="17"/>
              </w:rPr>
              <w:t>https://www.am.gov.ae/en/emergency/</w:t>
            </w:r>
          </w:p>
        </w:tc>
        <w:tc>
          <w:tcPr>
            <w:tcW w:type="dxa" w:w="3061"/>
            <w:shd w:val="clear" w:color="auto" w:fill="F2F6FA"/>
          </w:tcPr>
          <w:p>
            <w:r/>
            <w:r>
              <w:rPr>
                <w:sz w:val="17"/>
              </w:rPr>
              <w:t>997, 998, 999, 922, 991 and 996 emergency routing.</w:t>
            </w:r>
          </w:p>
        </w:tc>
        <w:tc>
          <w:tcPr>
            <w:tcW w:type="dxa" w:w="1474"/>
            <w:shd w:val="clear" w:color="auto" w:fill="F2F6FA"/>
          </w:tcPr>
          <w:p>
            <w:r/>
            <w:r>
              <w:rPr>
                <w:sz w:val="17"/>
              </w:rPr>
              <w:t>Verified official</w:t>
            </w:r>
          </w:p>
        </w:tc>
      </w:tr>
      <w:tr>
        <w:trPr>
          <w:cantSplit/>
        </w:trPr>
        <w:tc>
          <w:tcPr>
            <w:tcW w:type="dxa" w:w="680"/>
          </w:tcPr>
          <w:p>
            <w:r/>
            <w:r>
              <w:rPr>
                <w:sz w:val="17"/>
              </w:rPr>
              <w:t>AJ3</w:t>
            </w:r>
          </w:p>
        </w:tc>
        <w:tc>
          <w:tcPr>
            <w:tcW w:type="dxa" w:w="2835"/>
          </w:tcPr>
          <w:p>
            <w:r/>
            <w:r>
              <w:rPr>
                <w:sz w:val="17"/>
              </w:rPr>
              <w:t>EtihadWE - electricity and water emergency service</w:t>
            </w:r>
          </w:p>
        </w:tc>
        <w:tc>
          <w:tcPr>
            <w:tcW w:type="dxa" w:w="3061"/>
          </w:tcPr>
          <w:p>
            <w:r/>
            <w:r>
              <w:rPr>
                <w:sz w:val="17"/>
              </w:rPr>
              <w:t>https://etihadwe.ae/en/Services/eServices/Pages/Electricity-Water-Emergency-Service.aspx</w:t>
            </w:r>
          </w:p>
        </w:tc>
        <w:tc>
          <w:tcPr>
            <w:tcW w:type="dxa" w:w="3061"/>
          </w:tcPr>
          <w:p>
            <w:r/>
            <w:r>
              <w:rPr>
                <w:sz w:val="17"/>
              </w:rPr>
              <w:t>Northern-emirate utility fault reporting and emergency numbers 991 and 992.</w:t>
            </w:r>
          </w:p>
        </w:tc>
        <w:tc>
          <w:tcPr>
            <w:tcW w:type="dxa" w:w="1474"/>
          </w:tcPr>
          <w:p>
            <w:r/>
            <w:r>
              <w:rPr>
                <w:sz w:val="17"/>
              </w:rPr>
              <w:t>Verified official</w:t>
            </w:r>
          </w:p>
        </w:tc>
      </w:tr>
      <w:tr>
        <w:trPr>
          <w:cantSplit/>
        </w:trPr>
        <w:tc>
          <w:tcPr>
            <w:tcW w:type="dxa" w:w="680"/>
            <w:shd w:val="clear" w:color="auto" w:fill="F2F6FA"/>
          </w:tcPr>
          <w:p>
            <w:r/>
            <w:r>
              <w:rPr>
                <w:sz w:val="17"/>
              </w:rPr>
              <w:t>AJ4</w:t>
            </w:r>
          </w:p>
        </w:tc>
        <w:tc>
          <w:tcPr>
            <w:tcW w:type="dxa" w:w="2835"/>
            <w:shd w:val="clear" w:color="auto" w:fill="F2F6FA"/>
          </w:tcPr>
          <w:p>
            <w:r/>
            <w:r>
              <w:rPr>
                <w:sz w:val="17"/>
              </w:rPr>
              <w:t>Sustainable Ajman - waste management data story</w:t>
            </w:r>
          </w:p>
        </w:tc>
        <w:tc>
          <w:tcPr>
            <w:tcW w:type="dxa" w:w="3061"/>
            <w:shd w:val="clear" w:color="auto" w:fill="F2F6FA"/>
          </w:tcPr>
          <w:p>
            <w:r/>
            <w:r>
              <w:rPr>
                <w:sz w:val="17"/>
              </w:rPr>
              <w:t>https://data.ajman.ae/pages/wasteandstatisticsv2/</w:t>
            </w:r>
          </w:p>
        </w:tc>
        <w:tc>
          <w:tcPr>
            <w:tcW w:type="dxa" w:w="3061"/>
            <w:shd w:val="clear" w:color="auto" w:fill="F2F6FA"/>
          </w:tcPr>
          <w:p>
            <w:r/>
            <w:r>
              <w:rPr>
                <w:sz w:val="17"/>
              </w:rPr>
              <w:t>Al Jurf construction and waste context; not drainage-capacity evidence.</w:t>
            </w:r>
          </w:p>
        </w:tc>
        <w:tc>
          <w:tcPr>
            <w:tcW w:type="dxa" w:w="1474"/>
            <w:shd w:val="clear" w:color="auto" w:fill="F2F6FA"/>
          </w:tcPr>
          <w:p>
            <w:r/>
            <w:r>
              <w:rPr>
                <w:sz w:val="17"/>
              </w:rPr>
              <w:t>Verified official data portal</w:t>
            </w:r>
          </w:p>
        </w:tc>
      </w:tr>
      <w:tr>
        <w:trPr>
          <w:cantSplit/>
        </w:trPr>
        <w:tc>
          <w:tcPr>
            <w:tcW w:type="dxa" w:w="680"/>
          </w:tcPr>
          <w:p>
            <w:r/>
            <w:r>
              <w:rPr>
                <w:sz w:val="17"/>
              </w:rPr>
              <w:t>AJ5</w:t>
            </w:r>
          </w:p>
        </w:tc>
        <w:tc>
          <w:tcPr>
            <w:tcW w:type="dxa" w:w="2835"/>
          </w:tcPr>
          <w:p>
            <w:r/>
            <w:r>
              <w:rPr>
                <w:sz w:val="17"/>
              </w:rPr>
              <w:t>Ajman Government - environmental permit renewal request</w:t>
            </w:r>
          </w:p>
        </w:tc>
        <w:tc>
          <w:tcPr>
            <w:tcW w:type="dxa" w:w="3061"/>
          </w:tcPr>
          <w:p>
            <w:r/>
            <w:r>
              <w:rPr>
                <w:sz w:val="17"/>
              </w:rPr>
              <w:t>https://www.ajman.ae/en/servicecatalog/services/3273</w:t>
            </w:r>
          </w:p>
        </w:tc>
        <w:tc>
          <w:tcPr>
            <w:tcW w:type="dxa" w:w="3061"/>
          </w:tcPr>
          <w:p>
            <w:r/>
            <w:r>
              <w:rPr>
                <w:sz w:val="17"/>
              </w:rPr>
              <w:t>Local environmental permit and chemical-material route.</w:t>
            </w:r>
          </w:p>
        </w:tc>
        <w:tc>
          <w:tcPr>
            <w:tcW w:type="dxa" w:w="1474"/>
          </w:tcPr>
          <w:p>
            <w:r/>
            <w:r>
              <w:rPr>
                <w:sz w:val="17"/>
              </w:rPr>
              <w:t>Verified official</w:t>
            </w:r>
          </w:p>
        </w:tc>
      </w:tr>
      <w:tr>
        <w:trPr>
          <w:cantSplit/>
        </w:trPr>
        <w:tc>
          <w:tcPr>
            <w:tcW w:type="dxa" w:w="680"/>
            <w:shd w:val="clear" w:color="auto" w:fill="F2F6FA"/>
          </w:tcPr>
          <w:p>
            <w:r/>
            <w:r>
              <w:rPr>
                <w:sz w:val="17"/>
              </w:rPr>
              <w:t>UA1</w:t>
            </w:r>
          </w:p>
        </w:tc>
        <w:tc>
          <w:tcPr>
            <w:tcW w:type="dxa" w:w="2835"/>
            <w:shd w:val="clear" w:color="auto" w:fill="F2F6FA"/>
          </w:tcPr>
          <w:p>
            <w:r/>
            <w:r>
              <w:rPr>
                <w:sz w:val="17"/>
              </w:rPr>
              <w:t>Umm Al Quwain Government services catalogue</w:t>
            </w:r>
          </w:p>
        </w:tc>
        <w:tc>
          <w:tcPr>
            <w:tcW w:type="dxa" w:w="3061"/>
            <w:shd w:val="clear" w:color="auto" w:fill="F2F6FA"/>
          </w:tcPr>
          <w:p>
            <w:r/>
            <w:r>
              <w:rPr>
                <w:sz w:val="17"/>
              </w:rPr>
              <w:t>https://www.uaq.ae/ar/changeLanguage.html?fromPage=services/servicecatalog.html&amp;ignore=&amp;languageCode=ar</w:t>
            </w:r>
          </w:p>
        </w:tc>
        <w:tc>
          <w:tcPr>
            <w:tcW w:type="dxa" w:w="3061"/>
            <w:shd w:val="clear" w:color="auto" w:fill="F2F6FA"/>
          </w:tcPr>
          <w:p>
            <w:r/>
            <w:r>
              <w:rPr>
                <w:sz w:val="17"/>
              </w:rPr>
              <w:t>Municipal, waste-transport and environmental-approval route.</w:t>
            </w:r>
          </w:p>
        </w:tc>
        <w:tc>
          <w:tcPr>
            <w:tcW w:type="dxa" w:w="1474"/>
            <w:shd w:val="clear" w:color="auto" w:fill="F2F6FA"/>
          </w:tcPr>
          <w:p>
            <w:r/>
            <w:r>
              <w:rPr>
                <w:sz w:val="17"/>
              </w:rPr>
              <w:t>Official route; availability to confirm</w:t>
            </w:r>
          </w:p>
        </w:tc>
      </w:tr>
      <w:tr>
        <w:trPr>
          <w:cantSplit/>
        </w:trPr>
        <w:tc>
          <w:tcPr>
            <w:tcW w:type="dxa" w:w="680"/>
          </w:tcPr>
          <w:p>
            <w:r/>
            <w:r>
              <w:rPr>
                <w:sz w:val="17"/>
              </w:rPr>
              <w:t>UA2</w:t>
            </w:r>
          </w:p>
        </w:tc>
        <w:tc>
          <w:tcPr>
            <w:tcW w:type="dxa" w:w="2835"/>
          </w:tcPr>
          <w:p>
            <w:r/>
            <w:r>
              <w:rPr>
                <w:sz w:val="17"/>
              </w:rPr>
              <w:t>Umm Al Quwain Government contact page</w:t>
            </w:r>
          </w:p>
        </w:tc>
        <w:tc>
          <w:tcPr>
            <w:tcW w:type="dxa" w:w="3061"/>
          </w:tcPr>
          <w:p>
            <w:r/>
            <w:r>
              <w:rPr>
                <w:sz w:val="17"/>
              </w:rPr>
              <w:t>https://www.uaq.ae/ar/changeLanguage.html?fromPage=content/ContactUs.html&amp;ignore=&amp;languageCode=ar</w:t>
            </w:r>
          </w:p>
        </w:tc>
        <w:tc>
          <w:tcPr>
            <w:tcW w:type="dxa" w:w="3061"/>
          </w:tcPr>
          <w:p>
            <w:r/>
            <w:r>
              <w:rPr>
                <w:sz w:val="17"/>
              </w:rPr>
              <w:t>Municipal 24/7 contact route.</w:t>
            </w:r>
          </w:p>
        </w:tc>
        <w:tc>
          <w:tcPr>
            <w:tcW w:type="dxa" w:w="1474"/>
          </w:tcPr>
          <w:p>
            <w:r/>
            <w:r>
              <w:rPr>
                <w:sz w:val="17"/>
              </w:rPr>
              <w:t>Verified official</w:t>
            </w:r>
          </w:p>
        </w:tc>
      </w:tr>
      <w:tr>
        <w:trPr>
          <w:cantSplit/>
        </w:trPr>
        <w:tc>
          <w:tcPr>
            <w:tcW w:type="dxa" w:w="680"/>
            <w:shd w:val="clear" w:color="auto" w:fill="F2F6FA"/>
          </w:tcPr>
          <w:p>
            <w:r/>
            <w:r>
              <w:rPr>
                <w:sz w:val="17"/>
              </w:rPr>
              <w:t>UA3</w:t>
            </w:r>
          </w:p>
        </w:tc>
        <w:tc>
          <w:tcPr>
            <w:tcW w:type="dxa" w:w="2835"/>
            <w:shd w:val="clear" w:color="auto" w:fill="F2F6FA"/>
          </w:tcPr>
          <w:p>
            <w:r/>
            <w:r>
              <w:rPr>
                <w:sz w:val="17"/>
              </w:rPr>
              <w:t>Etihad Water and Electricity official website</w:t>
            </w:r>
          </w:p>
        </w:tc>
        <w:tc>
          <w:tcPr>
            <w:tcW w:type="dxa" w:w="3061"/>
            <w:shd w:val="clear" w:color="auto" w:fill="F2F6FA"/>
          </w:tcPr>
          <w:p>
            <w:r/>
            <w:r>
              <w:rPr>
                <w:sz w:val="17"/>
              </w:rPr>
              <w:t>https://www.etihadwe.ae/</w:t>
            </w:r>
          </w:p>
        </w:tc>
        <w:tc>
          <w:tcPr>
            <w:tcW w:type="dxa" w:w="3061"/>
            <w:shd w:val="clear" w:color="auto" w:fill="F2F6FA"/>
          </w:tcPr>
          <w:p>
            <w:r/>
            <w:r>
              <w:rPr>
                <w:sz w:val="17"/>
              </w:rPr>
              <w:t>UAQ utility centre, contact and northern-emirate service route.</w:t>
            </w:r>
          </w:p>
        </w:tc>
        <w:tc>
          <w:tcPr>
            <w:tcW w:type="dxa" w:w="1474"/>
            <w:shd w:val="clear" w:color="auto" w:fill="F2F6FA"/>
          </w:tcPr>
          <w:p>
            <w:r/>
            <w:r>
              <w:rPr>
                <w:sz w:val="17"/>
              </w:rPr>
              <w:t>Verified official</w:t>
            </w:r>
          </w:p>
        </w:tc>
      </w:tr>
      <w:tr>
        <w:trPr>
          <w:cantSplit/>
        </w:trPr>
        <w:tc>
          <w:tcPr>
            <w:tcW w:type="dxa" w:w="680"/>
          </w:tcPr>
          <w:p>
            <w:r/>
            <w:r>
              <w:rPr>
                <w:sz w:val="17"/>
              </w:rPr>
              <w:t>UA4</w:t>
            </w:r>
          </w:p>
        </w:tc>
        <w:tc>
          <w:tcPr>
            <w:tcW w:type="dxa" w:w="2835"/>
          </w:tcPr>
          <w:p>
            <w:r/>
            <w:r>
              <w:rPr>
                <w:sz w:val="17"/>
              </w:rPr>
              <w:t>Ministry of Economy and Tourism - Al Sinniyah Island</w:t>
            </w:r>
          </w:p>
        </w:tc>
        <w:tc>
          <w:tcPr>
            <w:tcW w:type="dxa" w:w="3061"/>
          </w:tcPr>
          <w:p>
            <w:r/>
            <w:r>
              <w:rPr>
                <w:sz w:val="17"/>
              </w:rPr>
              <w:t>https://www.moet.gov.ae/en/-/al-sinniyah-island</w:t>
            </w:r>
          </w:p>
        </w:tc>
        <w:tc>
          <w:tcPr>
            <w:tcW w:type="dxa" w:w="3061"/>
          </w:tcPr>
          <w:p>
            <w:r/>
            <w:r>
              <w:rPr>
                <w:sz w:val="17"/>
              </w:rPr>
              <w:t>Sensitive mangrove and tidal habitat context.</w:t>
            </w:r>
          </w:p>
        </w:tc>
        <w:tc>
          <w:tcPr>
            <w:tcW w:type="dxa" w:w="1474"/>
          </w:tcPr>
          <w:p>
            <w:r/>
            <w:r>
              <w:rPr>
                <w:sz w:val="17"/>
              </w:rPr>
              <w:t>Verified official</w:t>
            </w:r>
          </w:p>
        </w:tc>
      </w:tr>
      <w:tr>
        <w:trPr>
          <w:cantSplit/>
        </w:trPr>
        <w:tc>
          <w:tcPr>
            <w:tcW w:type="dxa" w:w="680"/>
            <w:shd w:val="clear" w:color="auto" w:fill="F2F6FA"/>
          </w:tcPr>
          <w:p>
            <w:r/>
            <w:r>
              <w:rPr>
                <w:sz w:val="17"/>
              </w:rPr>
              <w:t>RK1</w:t>
            </w:r>
          </w:p>
        </w:tc>
        <w:tc>
          <w:tcPr>
            <w:tcW w:type="dxa" w:w="2835"/>
            <w:shd w:val="clear" w:color="auto" w:fill="F2F6FA"/>
          </w:tcPr>
          <w:p>
            <w:r/>
            <w:r>
              <w:rPr>
                <w:sz w:val="17"/>
              </w:rPr>
              <w:t>RAK Municipality - Building Conditions and Specifications Regulation</w:t>
            </w:r>
          </w:p>
        </w:tc>
        <w:tc>
          <w:tcPr>
            <w:tcW w:type="dxa" w:w="3061"/>
            <w:shd w:val="clear" w:color="auto" w:fill="F2F6FA"/>
          </w:tcPr>
          <w:p>
            <w:r/>
            <w:r>
              <w:rPr>
                <w:sz w:val="17"/>
              </w:rPr>
              <w:t>https://sanad.mun.rak.ae/docs/en/building-regulation-arch</w:t>
            </w:r>
          </w:p>
        </w:tc>
        <w:tc>
          <w:tcPr>
            <w:tcW w:type="dxa" w:w="3061"/>
            <w:shd w:val="clear" w:color="auto" w:fill="F2F6FA"/>
          </w:tcPr>
          <w:p>
            <w:r/>
            <w:r>
              <w:rPr>
                <w:sz w:val="17"/>
              </w:rPr>
              <w:t>Building, electrical, water-supply and drainage requirements; service-authority interface.</w:t>
            </w:r>
          </w:p>
        </w:tc>
        <w:tc>
          <w:tcPr>
            <w:tcW w:type="dxa" w:w="1474"/>
            <w:shd w:val="clear" w:color="auto" w:fill="F2F6FA"/>
          </w:tcPr>
          <w:p>
            <w:r/>
            <w:r>
              <w:rPr>
                <w:sz w:val="17"/>
              </w:rPr>
              <w:t>Verified official</w:t>
            </w:r>
          </w:p>
        </w:tc>
      </w:tr>
      <w:tr>
        <w:trPr>
          <w:cantSplit/>
        </w:trPr>
        <w:tc>
          <w:tcPr>
            <w:tcW w:type="dxa" w:w="680"/>
          </w:tcPr>
          <w:p>
            <w:r/>
            <w:r>
              <w:rPr>
                <w:sz w:val="17"/>
              </w:rPr>
              <w:t>RK2</w:t>
            </w:r>
          </w:p>
        </w:tc>
        <w:tc>
          <w:tcPr>
            <w:tcW w:type="dxa" w:w="2835"/>
          </w:tcPr>
          <w:p>
            <w:r/>
            <w:r>
              <w:rPr>
                <w:sz w:val="17"/>
              </w:rPr>
              <w:t>RAK Municipality - new building permit (ZP02)</w:t>
            </w:r>
          </w:p>
        </w:tc>
        <w:tc>
          <w:tcPr>
            <w:tcW w:type="dxa" w:w="3061"/>
          </w:tcPr>
          <w:p>
            <w:r/>
            <w:r>
              <w:rPr>
                <w:sz w:val="17"/>
              </w:rPr>
              <w:t>https://sanad.mun.rak.ae/docs/en/services-card-english-temp-49</w:t>
            </w:r>
          </w:p>
        </w:tc>
        <w:tc>
          <w:tcPr>
            <w:tcW w:type="dxa" w:w="3061"/>
          </w:tcPr>
          <w:p>
            <w:r/>
            <w:r>
              <w:rPr>
                <w:sz w:val="17"/>
              </w:rPr>
              <w:t>Waste-management permit, NOCs, soil investigation and structural calculations before site work.</w:t>
            </w:r>
          </w:p>
        </w:tc>
        <w:tc>
          <w:tcPr>
            <w:tcW w:type="dxa" w:w="1474"/>
          </w:tcPr>
          <w:p>
            <w:r/>
            <w:r>
              <w:rPr>
                <w:sz w:val="17"/>
              </w:rPr>
              <w:t>Verified official</w:t>
            </w:r>
          </w:p>
        </w:tc>
      </w:tr>
      <w:tr>
        <w:trPr>
          <w:cantSplit/>
        </w:trPr>
        <w:tc>
          <w:tcPr>
            <w:tcW w:type="dxa" w:w="680"/>
            <w:shd w:val="clear" w:color="auto" w:fill="F2F6FA"/>
          </w:tcPr>
          <w:p>
            <w:r/>
            <w:r>
              <w:rPr>
                <w:sz w:val="17"/>
              </w:rPr>
              <w:t>RK3</w:t>
            </w:r>
          </w:p>
        </w:tc>
        <w:tc>
          <w:tcPr>
            <w:tcW w:type="dxa" w:w="2835"/>
            <w:shd w:val="clear" w:color="auto" w:fill="F2F6FA"/>
          </w:tcPr>
          <w:p>
            <w:r/>
            <w:r>
              <w:rPr>
                <w:sz w:val="17"/>
              </w:rPr>
              <w:t>RAK Municipality - structural regulations</w:t>
            </w:r>
          </w:p>
        </w:tc>
        <w:tc>
          <w:tcPr>
            <w:tcW w:type="dxa" w:w="3061"/>
            <w:shd w:val="clear" w:color="auto" w:fill="F2F6FA"/>
          </w:tcPr>
          <w:p>
            <w:r/>
            <w:r>
              <w:rPr>
                <w:sz w:val="17"/>
              </w:rPr>
              <w:t>https://sanad.mun.rak.ae/docs/structural-regulations</w:t>
            </w:r>
          </w:p>
        </w:tc>
        <w:tc>
          <w:tcPr>
            <w:tcW w:type="dxa" w:w="3061"/>
            <w:shd w:val="clear" w:color="auto" w:fill="F2F6FA"/>
          </w:tcPr>
          <w:p>
            <w:r/>
            <w:r>
              <w:rPr>
                <w:sz w:val="17"/>
              </w:rPr>
              <w:t>Excavation slopes, shoring, groundwater and dewatering requirements.</w:t>
            </w:r>
          </w:p>
        </w:tc>
        <w:tc>
          <w:tcPr>
            <w:tcW w:type="dxa" w:w="1474"/>
            <w:shd w:val="clear" w:color="auto" w:fill="F2F6FA"/>
          </w:tcPr>
          <w:p>
            <w:r/>
            <w:r>
              <w:rPr>
                <w:sz w:val="17"/>
              </w:rPr>
              <w:t>Verified official</w:t>
            </w:r>
          </w:p>
        </w:tc>
      </w:tr>
      <w:tr>
        <w:trPr>
          <w:cantSplit/>
        </w:trPr>
        <w:tc>
          <w:tcPr>
            <w:tcW w:type="dxa" w:w="680"/>
          </w:tcPr>
          <w:p>
            <w:r/>
            <w:r>
              <w:rPr>
                <w:sz w:val="17"/>
              </w:rPr>
              <w:t>RK4</w:t>
            </w:r>
          </w:p>
        </w:tc>
        <w:tc>
          <w:tcPr>
            <w:tcW w:type="dxa" w:w="2835"/>
          </w:tcPr>
          <w:p>
            <w:r/>
            <w:r>
              <w:rPr>
                <w:sz w:val="17"/>
              </w:rPr>
              <w:t>RAK Public Services Department - construction waste and drainage services</w:t>
            </w:r>
          </w:p>
        </w:tc>
        <w:tc>
          <w:tcPr>
            <w:tcW w:type="dxa" w:w="3061"/>
          </w:tcPr>
          <w:p>
            <w:r/>
            <w:r>
              <w:rPr>
                <w:sz w:val="17"/>
              </w:rPr>
              <w:t>https://www.rak.ae/wps/portal/rak/home/citizens/housing/facilitiesandmaintenance/publicservicesdepartment</w:t>
            </w:r>
          </w:p>
        </w:tc>
        <w:tc>
          <w:tcPr>
            <w:tcW w:type="dxa" w:w="3061"/>
          </w:tcPr>
          <w:p>
            <w:r/>
            <w:r>
              <w:rPr>
                <w:sz w:val="17"/>
              </w:rPr>
              <w:t>Waste removal, completion inspection, drainage clearance and PSD interface.</w:t>
            </w:r>
          </w:p>
        </w:tc>
        <w:tc>
          <w:tcPr>
            <w:tcW w:type="dxa" w:w="1474"/>
          </w:tcPr>
          <w:p>
            <w:r/>
            <w:r>
              <w:rPr>
                <w:sz w:val="17"/>
              </w:rPr>
              <w:t>Verified official</w:t>
            </w:r>
          </w:p>
        </w:tc>
      </w:tr>
      <w:tr>
        <w:trPr>
          <w:cantSplit/>
        </w:trPr>
        <w:tc>
          <w:tcPr>
            <w:tcW w:type="dxa" w:w="680"/>
            <w:shd w:val="clear" w:color="auto" w:fill="F2F6FA"/>
          </w:tcPr>
          <w:p>
            <w:r/>
            <w:r>
              <w:rPr>
                <w:sz w:val="17"/>
              </w:rPr>
              <w:t>RK5</w:t>
            </w:r>
          </w:p>
        </w:tc>
        <w:tc>
          <w:tcPr>
            <w:tcW w:type="dxa" w:w="2835"/>
            <w:shd w:val="clear" w:color="auto" w:fill="F2F6FA"/>
          </w:tcPr>
          <w:p>
            <w:r/>
            <w:r>
              <w:rPr>
                <w:sz w:val="17"/>
              </w:rPr>
              <w:t>RAK EPDA - laws and decrees</w:t>
            </w:r>
          </w:p>
        </w:tc>
        <w:tc>
          <w:tcPr>
            <w:tcW w:type="dxa" w:w="3061"/>
            <w:shd w:val="clear" w:color="auto" w:fill="F2F6FA"/>
          </w:tcPr>
          <w:p>
            <w:r/>
            <w:r>
              <w:rPr>
                <w:sz w:val="17"/>
              </w:rPr>
              <w:t>https://epda.rak.ae/home/laws-and-decrees/</w:t>
            </w:r>
          </w:p>
        </w:tc>
        <w:tc>
          <w:tcPr>
            <w:tcW w:type="dxa" w:w="3061"/>
            <w:shd w:val="clear" w:color="auto" w:fill="F2F6FA"/>
          </w:tcPr>
          <w:p>
            <w:r/>
            <w:r>
              <w:rPr>
                <w:sz w:val="17"/>
              </w:rPr>
              <w:t>EPDA environmental legal and approval route.</w:t>
            </w:r>
          </w:p>
        </w:tc>
        <w:tc>
          <w:tcPr>
            <w:tcW w:type="dxa" w:w="1474"/>
            <w:shd w:val="clear" w:color="auto" w:fill="F2F6FA"/>
          </w:tcPr>
          <w:p>
            <w:r/>
            <w:r>
              <w:rPr>
                <w:sz w:val="17"/>
              </w:rPr>
              <w:t>Verified official</w:t>
            </w:r>
          </w:p>
        </w:tc>
      </w:tr>
      <w:tr>
        <w:trPr>
          <w:cantSplit/>
        </w:trPr>
        <w:tc>
          <w:tcPr>
            <w:tcW w:type="dxa" w:w="680"/>
          </w:tcPr>
          <w:p>
            <w:r/>
            <w:r>
              <w:rPr>
                <w:sz w:val="17"/>
              </w:rPr>
              <w:t>RK6</w:t>
            </w:r>
          </w:p>
        </w:tc>
        <w:tc>
          <w:tcPr>
            <w:tcW w:type="dxa" w:w="2835"/>
          </w:tcPr>
          <w:p>
            <w:r/>
            <w:r>
              <w:rPr>
                <w:sz w:val="17"/>
              </w:rPr>
              <w:t>RAKEZ HS&amp;E Regulations, First Edition 2022</w:t>
            </w:r>
          </w:p>
        </w:tc>
        <w:tc>
          <w:tcPr>
            <w:tcW w:type="dxa" w:w="3061"/>
          </w:tcPr>
          <w:p>
            <w:r/>
            <w:r>
              <w:rPr>
                <w:sz w:val="17"/>
              </w:rPr>
              <w:t>https://rakez.com/Upload/ManageDocument/hse_regulations_20220401165612.pdf</w:t>
            </w:r>
          </w:p>
        </w:tc>
        <w:tc>
          <w:tcPr>
            <w:tcW w:type="dxa" w:w="3061"/>
          </w:tcPr>
          <w:p>
            <w:r/>
            <w:r>
              <w:rPr>
                <w:sz w:val="17"/>
              </w:rPr>
              <w:t>RAKEZ emergency, electrical, lifting, spill and reporting controls.</w:t>
            </w:r>
          </w:p>
        </w:tc>
        <w:tc>
          <w:tcPr>
            <w:tcW w:type="dxa" w:w="1474"/>
          </w:tcPr>
          <w:p>
            <w:r/>
            <w:r>
              <w:rPr>
                <w:sz w:val="17"/>
              </w:rPr>
              <w:t>Verified official</w:t>
            </w:r>
          </w:p>
        </w:tc>
      </w:tr>
      <w:tr>
        <w:trPr>
          <w:cantSplit/>
        </w:trPr>
        <w:tc>
          <w:tcPr>
            <w:tcW w:type="dxa" w:w="680"/>
            <w:shd w:val="clear" w:color="auto" w:fill="F2F6FA"/>
          </w:tcPr>
          <w:p>
            <w:r/>
            <w:r>
              <w:rPr>
                <w:sz w:val="17"/>
              </w:rPr>
              <w:t>RK7</w:t>
            </w:r>
          </w:p>
        </w:tc>
        <w:tc>
          <w:tcPr>
            <w:tcW w:type="dxa" w:w="2835"/>
            <w:shd w:val="clear" w:color="auto" w:fill="F2F6FA"/>
          </w:tcPr>
          <w:p>
            <w:r/>
            <w:r>
              <w:rPr>
                <w:sz w:val="17"/>
              </w:rPr>
              <w:t>RAK Sustainable Community Guidelines</w:t>
            </w:r>
          </w:p>
        </w:tc>
        <w:tc>
          <w:tcPr>
            <w:tcW w:type="dxa" w:w="3061"/>
            <w:shd w:val="clear" w:color="auto" w:fill="F2F6FA"/>
          </w:tcPr>
          <w:p>
            <w:r/>
            <w:r>
              <w:rPr>
                <w:sz w:val="17"/>
              </w:rPr>
              <w:t>https://sanad.mun.rak.ae/docs/en/sustainable-community-guidelines</w:t>
            </w:r>
          </w:p>
        </w:tc>
        <w:tc>
          <w:tcPr>
            <w:tcW w:type="dxa" w:w="3061"/>
            <w:shd w:val="clear" w:color="auto" w:fill="F2F6FA"/>
          </w:tcPr>
          <w:p>
            <w:r/>
            <w:r>
              <w:rPr>
                <w:sz w:val="17"/>
              </w:rPr>
              <w:t>Flood-hazard analysis, runoff quantity and quality, EIA/CEMP and coastal approval context.</w:t>
            </w:r>
          </w:p>
        </w:tc>
        <w:tc>
          <w:tcPr>
            <w:tcW w:type="dxa" w:w="1474"/>
            <w:shd w:val="clear" w:color="auto" w:fill="F2F6FA"/>
          </w:tcPr>
          <w:p>
            <w:r/>
            <w:r>
              <w:rPr>
                <w:sz w:val="17"/>
              </w:rPr>
              <w:t>Verified official</w:t>
            </w:r>
          </w:p>
        </w:tc>
      </w:tr>
      <w:tr>
        <w:trPr>
          <w:cantSplit/>
        </w:trPr>
        <w:tc>
          <w:tcPr>
            <w:tcW w:type="dxa" w:w="680"/>
          </w:tcPr>
          <w:p>
            <w:r/>
            <w:r>
              <w:rPr>
                <w:sz w:val="17"/>
              </w:rPr>
              <w:t>FU1</w:t>
            </w:r>
          </w:p>
        </w:tc>
        <w:tc>
          <w:tcPr>
            <w:tcW w:type="dxa" w:w="2835"/>
          </w:tcPr>
          <w:p>
            <w:r/>
            <w:r>
              <w:rPr>
                <w:sz w:val="17"/>
              </w:rPr>
              <w:t>Fujairah Municipality official portal</w:t>
            </w:r>
          </w:p>
        </w:tc>
        <w:tc>
          <w:tcPr>
            <w:tcW w:type="dxa" w:w="3061"/>
          </w:tcPr>
          <w:p>
            <w:r/>
            <w:r>
              <w:rPr>
                <w:sz w:val="17"/>
              </w:rPr>
              <w:t>https://www.fujmun.gov.ae/default.aspx?lang=en</w:t>
            </w:r>
          </w:p>
        </w:tc>
        <w:tc>
          <w:tcPr>
            <w:tcW w:type="dxa" w:w="3061"/>
          </w:tcPr>
          <w:p>
            <w:r/>
            <w:r>
              <w:rPr>
                <w:sz w:val="17"/>
              </w:rPr>
              <w:t>Building, complaints, waste and municipal call-centre route.</w:t>
            </w:r>
          </w:p>
        </w:tc>
        <w:tc>
          <w:tcPr>
            <w:tcW w:type="dxa" w:w="1474"/>
          </w:tcPr>
          <w:p>
            <w:r/>
            <w:r>
              <w:rPr>
                <w:sz w:val="17"/>
              </w:rPr>
              <w:t>Verified official</w:t>
            </w:r>
          </w:p>
        </w:tc>
      </w:tr>
      <w:tr>
        <w:trPr>
          <w:cantSplit/>
        </w:trPr>
        <w:tc>
          <w:tcPr>
            <w:tcW w:type="dxa" w:w="680"/>
            <w:shd w:val="clear" w:color="auto" w:fill="F2F6FA"/>
          </w:tcPr>
          <w:p>
            <w:r/>
            <w:r>
              <w:rPr>
                <w:sz w:val="17"/>
              </w:rPr>
              <w:t>FU2</w:t>
            </w:r>
          </w:p>
        </w:tc>
        <w:tc>
          <w:tcPr>
            <w:tcW w:type="dxa" w:w="2835"/>
            <w:shd w:val="clear" w:color="auto" w:fill="F2F6FA"/>
          </w:tcPr>
          <w:p>
            <w:r/>
            <w:r>
              <w:rPr>
                <w:sz w:val="17"/>
              </w:rPr>
              <w:t>Fujairah PWAD - 77 km rainwater drainage network and tunnels</w:t>
            </w:r>
          </w:p>
        </w:tc>
        <w:tc>
          <w:tcPr>
            <w:tcW w:type="dxa" w:w="3061"/>
            <w:shd w:val="clear" w:color="auto" w:fill="F2F6FA"/>
          </w:tcPr>
          <w:p>
            <w:r/>
            <w:r>
              <w:rPr>
                <w:sz w:val="17"/>
              </w:rPr>
              <w:t>https://pwad.fujairah.ae/en/news/fujairah-to-get-77km-rainwater-drainage-network-2-new-tunnels-in-internal-road-project</w:t>
            </w:r>
          </w:p>
        </w:tc>
        <w:tc>
          <w:tcPr>
            <w:tcW w:type="dxa" w:w="3061"/>
            <w:shd w:val="clear" w:color="auto" w:fill="F2F6FA"/>
          </w:tcPr>
          <w:p>
            <w:r/>
            <w:r>
              <w:rPr>
                <w:sz w:val="17"/>
              </w:rPr>
              <w:t>PWAD rainwater infrastructure and public-interface context.</w:t>
            </w:r>
          </w:p>
        </w:tc>
        <w:tc>
          <w:tcPr>
            <w:tcW w:type="dxa" w:w="1474"/>
            <w:shd w:val="clear" w:color="auto" w:fill="F2F6FA"/>
          </w:tcPr>
          <w:p>
            <w:r/>
            <w:r>
              <w:rPr>
                <w:sz w:val="17"/>
              </w:rPr>
              <w:t>Verified official</w:t>
            </w:r>
          </w:p>
        </w:tc>
      </w:tr>
      <w:tr>
        <w:trPr>
          <w:cantSplit/>
        </w:trPr>
        <w:tc>
          <w:tcPr>
            <w:tcW w:type="dxa" w:w="680"/>
          </w:tcPr>
          <w:p>
            <w:r/>
            <w:r>
              <w:rPr>
                <w:sz w:val="17"/>
              </w:rPr>
              <w:t>FU3</w:t>
            </w:r>
          </w:p>
        </w:tc>
        <w:tc>
          <w:tcPr>
            <w:tcW w:type="dxa" w:w="2835"/>
          </w:tcPr>
          <w:p>
            <w:r/>
            <w:r>
              <w:rPr>
                <w:sz w:val="17"/>
              </w:rPr>
              <w:t>NCM Fujairah forecast and observations</w:t>
            </w:r>
          </w:p>
        </w:tc>
        <w:tc>
          <w:tcPr>
            <w:tcW w:type="dxa" w:w="3061"/>
          </w:tcPr>
          <w:p>
            <w:r/>
            <w:r>
              <w:rPr>
                <w:sz w:val="17"/>
              </w:rPr>
              <w:t>https://fujairah.ncm.ae/</w:t>
            </w:r>
          </w:p>
        </w:tc>
        <w:tc>
          <w:tcPr>
            <w:tcW w:type="dxa" w:w="3061"/>
          </w:tcPr>
          <w:p>
            <w:r/>
            <w:r>
              <w:rPr>
                <w:sz w:val="17"/>
              </w:rPr>
              <w:t>Fujairah station, radar, forecast and marine information.</w:t>
            </w:r>
          </w:p>
        </w:tc>
        <w:tc>
          <w:tcPr>
            <w:tcW w:type="dxa" w:w="1474"/>
          </w:tcPr>
          <w:p>
            <w:r/>
            <w:r>
              <w:rPr>
                <w:sz w:val="17"/>
              </w:rPr>
              <w:t>Verified official</w:t>
            </w:r>
          </w:p>
        </w:tc>
      </w:tr>
      <w:tr>
        <w:trPr>
          <w:cantSplit/>
        </w:trPr>
        <w:tc>
          <w:tcPr>
            <w:tcW w:type="dxa" w:w="680"/>
            <w:shd w:val="clear" w:color="auto" w:fill="F2F6FA"/>
          </w:tcPr>
          <w:p>
            <w:r/>
            <w:r>
              <w:rPr>
                <w:sz w:val="17"/>
              </w:rPr>
              <w:t>FU4</w:t>
            </w:r>
          </w:p>
        </w:tc>
        <w:tc>
          <w:tcPr>
            <w:tcW w:type="dxa" w:w="2835"/>
            <w:shd w:val="clear" w:color="auto" w:fill="F2F6FA"/>
          </w:tcPr>
          <w:p>
            <w:r/>
            <w:r>
              <w:rPr>
                <w:sz w:val="17"/>
              </w:rPr>
              <w:t>Etihad Water and Electricity official site</w:t>
            </w:r>
          </w:p>
        </w:tc>
        <w:tc>
          <w:tcPr>
            <w:tcW w:type="dxa" w:w="3061"/>
            <w:shd w:val="clear" w:color="auto" w:fill="F2F6FA"/>
          </w:tcPr>
          <w:p>
            <w:r/>
            <w:r>
              <w:rPr>
                <w:sz w:val="17"/>
              </w:rPr>
              <w:t>https://www.etihadwe.ae/en/Pages/default.aspx</w:t>
            </w:r>
          </w:p>
        </w:tc>
        <w:tc>
          <w:tcPr>
            <w:tcW w:type="dxa" w:w="3061"/>
            <w:shd w:val="clear" w:color="auto" w:fill="F2F6FA"/>
          </w:tcPr>
          <w:p>
            <w:r/>
            <w:r>
              <w:rPr>
                <w:sz w:val="17"/>
              </w:rPr>
              <w:t>NOC, drawing approval, connections and the 800 3392 fault route.</w:t>
            </w:r>
          </w:p>
        </w:tc>
        <w:tc>
          <w:tcPr>
            <w:tcW w:type="dxa" w:w="1474"/>
            <w:shd w:val="clear" w:color="auto" w:fill="F2F6FA"/>
          </w:tcPr>
          <w:p>
            <w:r/>
            <w:r>
              <w:rPr>
                <w:sz w:val="17"/>
              </w:rPr>
              <w:t>Verified official</w:t>
            </w:r>
          </w:p>
        </w:tc>
      </w:tr>
      <w:tr>
        <w:trPr>
          <w:cantSplit/>
        </w:trPr>
        <w:tc>
          <w:tcPr>
            <w:tcW w:type="dxa" w:w="680"/>
          </w:tcPr>
          <w:p>
            <w:r/>
            <w:r>
              <w:rPr>
                <w:sz w:val="17"/>
              </w:rPr>
              <w:t>FU5</w:t>
            </w:r>
          </w:p>
        </w:tc>
        <w:tc>
          <w:tcPr>
            <w:tcW w:type="dxa" w:w="2835"/>
          </w:tcPr>
          <w:p>
            <w:r/>
            <w:r>
              <w:rPr>
                <w:sz w:val="17"/>
              </w:rPr>
              <w:t>Fujairah Environment Authority - groundwater well drilling permit</w:t>
            </w:r>
          </w:p>
        </w:tc>
        <w:tc>
          <w:tcPr>
            <w:tcW w:type="dxa" w:w="3061"/>
          </w:tcPr>
          <w:p>
            <w:r/>
            <w:r>
              <w:rPr>
                <w:sz w:val="17"/>
              </w:rPr>
              <w:t>https://services.fea.gov.ae/customer/Site/ServiceDetail/6</w:t>
            </w:r>
          </w:p>
        </w:tc>
        <w:tc>
          <w:tcPr>
            <w:tcW w:type="dxa" w:w="3061"/>
          </w:tcPr>
          <w:p>
            <w:r/>
            <w:r>
              <w:rPr>
                <w:sz w:val="17"/>
              </w:rPr>
              <w:t>Groundwater licence, quality analysis and drilling-waste record context.</w:t>
            </w:r>
          </w:p>
        </w:tc>
        <w:tc>
          <w:tcPr>
            <w:tcW w:type="dxa" w:w="1474"/>
          </w:tcPr>
          <w:p>
            <w:r/>
            <w:r>
              <w:rPr>
                <w:sz w:val="17"/>
              </w:rPr>
              <w:t>Verified official</w:t>
            </w:r>
          </w:p>
        </w:tc>
      </w:tr>
      <w:tr>
        <w:trPr>
          <w:cantSplit/>
        </w:trPr>
        <w:tc>
          <w:tcPr>
            <w:tcW w:type="dxa" w:w="680"/>
            <w:shd w:val="clear" w:color="auto" w:fill="F2F6FA"/>
          </w:tcPr>
          <w:p>
            <w:r/>
            <w:r>
              <w:rPr>
                <w:sz w:val="17"/>
              </w:rPr>
              <w:t>FU6</w:t>
            </w:r>
          </w:p>
        </w:tc>
        <w:tc>
          <w:tcPr>
            <w:tcW w:type="dxa" w:w="2835"/>
            <w:shd w:val="clear" w:color="auto" w:fill="F2F6FA"/>
          </w:tcPr>
          <w:p>
            <w:r/>
            <w:r>
              <w:rPr>
                <w:sz w:val="17"/>
              </w:rPr>
              <w:t>Fujairah Free Zone Authority official portal</w:t>
            </w:r>
          </w:p>
        </w:tc>
        <w:tc>
          <w:tcPr>
            <w:tcW w:type="dxa" w:w="3061"/>
            <w:shd w:val="clear" w:color="auto" w:fill="F2F6FA"/>
          </w:tcPr>
          <w:p>
            <w:r/>
            <w:r>
              <w:rPr>
                <w:sz w:val="17"/>
              </w:rPr>
              <w:t>https://freezone.fujairah.ae/en</w:t>
            </w:r>
          </w:p>
        </w:tc>
        <w:tc>
          <w:tcPr>
            <w:tcW w:type="dxa" w:w="3061"/>
            <w:shd w:val="clear" w:color="auto" w:fill="F2F6FA"/>
          </w:tcPr>
          <w:p>
            <w:r/>
            <w:r>
              <w:rPr>
                <w:sz w:val="17"/>
              </w:rPr>
              <w:t>Free-zone NOC, certificate and customised-building coordination route.</w:t>
            </w:r>
          </w:p>
        </w:tc>
        <w:tc>
          <w:tcPr>
            <w:tcW w:type="dxa" w:w="1474"/>
            <w:shd w:val="clear" w:color="auto" w:fill="F2F6FA"/>
          </w:tcPr>
          <w:p>
            <w:r/>
            <w:r>
              <w:rPr>
                <w:sz w:val="17"/>
              </w:rPr>
              <w:t>Verified official</w:t>
            </w:r>
          </w:p>
        </w:tc>
      </w:tr>
      <w:tr>
        <w:trPr>
          <w:cantSplit/>
        </w:trPr>
        <w:tc>
          <w:tcPr>
            <w:tcW w:type="dxa" w:w="680"/>
          </w:tcPr>
          <w:p>
            <w:r/>
            <w:r>
              <w:rPr>
                <w:sz w:val="17"/>
              </w:rPr>
              <w:t>FU7</w:t>
            </w:r>
          </w:p>
        </w:tc>
        <w:tc>
          <w:tcPr>
            <w:tcW w:type="dxa" w:w="2835"/>
          </w:tcPr>
          <w:p>
            <w:r/>
            <w:r>
              <w:rPr>
                <w:sz w:val="17"/>
              </w:rPr>
              <w:t>Port of Fujairah - Marine Department notice NM 148 v6</w:t>
            </w:r>
          </w:p>
        </w:tc>
        <w:tc>
          <w:tcPr>
            <w:tcW w:type="dxa" w:w="3061"/>
          </w:tcPr>
          <w:p>
            <w:r/>
            <w:r>
              <w:rPr>
                <w:sz w:val="17"/>
              </w:rPr>
              <w:t>https://fujairahport.ae/wp-content/uploads/2021/04/NTM-148-Verson-6.pdf</w:t>
            </w:r>
          </w:p>
        </w:tc>
        <w:tc>
          <w:tcPr>
            <w:tcW w:type="dxa" w:w="3061"/>
          </w:tcPr>
          <w:p>
            <w:r/>
            <w:r>
              <w:rPr>
                <w:sz w:val="17"/>
              </w:rPr>
              <w:t>Port emergency VHF and terminal-specific wind and wave limits.</w:t>
            </w:r>
          </w:p>
        </w:tc>
        <w:tc>
          <w:tcPr>
            <w:tcW w:type="dxa" w:w="1474"/>
          </w:tcPr>
          <w:p>
            <w:r/>
            <w:r>
              <w:rPr>
                <w:sz w:val="17"/>
              </w:rPr>
              <w:t>Verified official</w:t>
            </w:r>
          </w:p>
        </w:tc>
      </w:tr>
      <w:tr>
        <w:trPr>
          <w:cantSplit/>
        </w:trPr>
        <w:tc>
          <w:tcPr>
            <w:tcW w:type="dxa" w:w="680"/>
            <w:shd w:val="clear" w:color="auto" w:fill="F2F6FA"/>
          </w:tcPr>
          <w:p>
            <w:r/>
            <w:r>
              <w:rPr>
                <w:sz w:val="17"/>
              </w:rPr>
              <w:t>T1</w:t>
            </w:r>
          </w:p>
        </w:tc>
        <w:tc>
          <w:tcPr>
            <w:tcW w:type="dxa" w:w="2835"/>
            <w:shd w:val="clear" w:color="auto" w:fill="F2F6FA"/>
          </w:tcPr>
          <w:p>
            <w:r/>
            <w:r>
              <w:rPr>
                <w:sz w:val="17"/>
              </w:rPr>
              <w:t>IEC 60364-7-704:2017 - construction and demolition site installations</w:t>
            </w:r>
          </w:p>
        </w:tc>
        <w:tc>
          <w:tcPr>
            <w:tcW w:type="dxa" w:w="3061"/>
            <w:shd w:val="clear" w:color="auto" w:fill="F2F6FA"/>
          </w:tcPr>
          <w:p>
            <w:r/>
            <w:r>
              <w:rPr>
                <w:sz w:val="17"/>
              </w:rPr>
              <w:t>https://webstore.iec.ch/en/publication/33784</w:t>
            </w:r>
          </w:p>
        </w:tc>
        <w:tc>
          <w:tcPr>
            <w:tcW w:type="dxa" w:w="3061"/>
            <w:shd w:val="clear" w:color="auto" w:fill="F2F6FA"/>
          </w:tcPr>
          <w:p>
            <w:r/>
            <w:r>
              <w:rPr>
                <w:sz w:val="17"/>
              </w:rPr>
              <w:t>Temporary low-voltage construction-installation scope and isolation concept.</w:t>
            </w:r>
          </w:p>
        </w:tc>
        <w:tc>
          <w:tcPr>
            <w:tcW w:type="dxa" w:w="1474"/>
            <w:shd w:val="clear" w:color="auto" w:fill="F2F6FA"/>
          </w:tcPr>
          <w:p>
            <w:r/>
            <w:r>
              <w:rPr>
                <w:sz w:val="17"/>
              </w:rPr>
              <w:t>Publisher verified; non-UAE benchmark</w:t>
            </w:r>
          </w:p>
        </w:tc>
      </w:tr>
      <w:tr>
        <w:trPr>
          <w:cantSplit/>
        </w:trPr>
        <w:tc>
          <w:tcPr>
            <w:tcW w:type="dxa" w:w="680"/>
          </w:tcPr>
          <w:p>
            <w:r/>
            <w:r>
              <w:rPr>
                <w:sz w:val="17"/>
              </w:rPr>
              <w:t>T2</w:t>
            </w:r>
          </w:p>
        </w:tc>
        <w:tc>
          <w:tcPr>
            <w:tcW w:type="dxa" w:w="2835"/>
          </w:tcPr>
          <w:p>
            <w:r/>
            <w:r>
              <w:rPr>
                <w:sz w:val="17"/>
              </w:rPr>
              <w:t>HSE HSG141 - electrical safety on construction sites</w:t>
            </w:r>
          </w:p>
        </w:tc>
        <w:tc>
          <w:tcPr>
            <w:tcW w:type="dxa" w:w="3061"/>
          </w:tcPr>
          <w:p>
            <w:r/>
            <w:r>
              <w:rPr>
                <w:sz w:val="17"/>
              </w:rPr>
              <w:t>https://www.hse.gov.uk/pubns/books/hsg141.htm</w:t>
            </w:r>
          </w:p>
        </w:tc>
        <w:tc>
          <w:tcPr>
            <w:tcW w:type="dxa" w:w="3061"/>
          </w:tcPr>
          <w:p>
            <w:r/>
            <w:r>
              <w:rPr>
                <w:sz w:val="17"/>
              </w:rPr>
              <w:t>Planning, installation, commissioning and operation of construction electrics.</w:t>
            </w:r>
          </w:p>
        </w:tc>
        <w:tc>
          <w:tcPr>
            <w:tcW w:type="dxa" w:w="1474"/>
          </w:tcPr>
          <w:p>
            <w:r/>
            <w:r>
              <w:rPr>
                <w:sz w:val="17"/>
              </w:rPr>
              <w:t>Regulator verified; non-UAE benchmark</w:t>
            </w:r>
          </w:p>
        </w:tc>
      </w:tr>
      <w:tr>
        <w:trPr>
          <w:cantSplit/>
        </w:trPr>
        <w:tc>
          <w:tcPr>
            <w:tcW w:type="dxa" w:w="680"/>
            <w:shd w:val="clear" w:color="auto" w:fill="F2F6FA"/>
          </w:tcPr>
          <w:p>
            <w:r/>
            <w:r>
              <w:rPr>
                <w:sz w:val="17"/>
              </w:rPr>
              <w:t>T3</w:t>
            </w:r>
          </w:p>
        </w:tc>
        <w:tc>
          <w:tcPr>
            <w:tcW w:type="dxa" w:w="2835"/>
            <w:shd w:val="clear" w:color="auto" w:fill="F2F6FA"/>
          </w:tcPr>
          <w:p>
            <w:r/>
            <w:r>
              <w:rPr>
                <w:sz w:val="17"/>
              </w:rPr>
              <w:t>IET Code of Practice for In-service Inspection and Testing, 5th edition</w:t>
            </w:r>
          </w:p>
        </w:tc>
        <w:tc>
          <w:tcPr>
            <w:tcW w:type="dxa" w:w="3061"/>
            <w:shd w:val="clear" w:color="auto" w:fill="F2F6FA"/>
          </w:tcPr>
          <w:p>
            <w:r/>
            <w:r>
              <w:rPr>
                <w:sz w:val="17"/>
              </w:rPr>
              <w:t>https://shop.theiet.org/code-of-practice-for-in-service-inspection-and-testing-of-electrical-equipment-5th-edition</w:t>
            </w:r>
          </w:p>
        </w:tc>
        <w:tc>
          <w:tcPr>
            <w:tcW w:type="dxa" w:w="3061"/>
            <w:shd w:val="clear" w:color="auto" w:fill="F2F6FA"/>
          </w:tcPr>
          <w:p>
            <w:r/>
            <w:r>
              <w:rPr>
                <w:sz w:val="17"/>
              </w:rPr>
              <w:t>Risk-based equipment inspection and testing after exposure or damage.</w:t>
            </w:r>
          </w:p>
        </w:tc>
        <w:tc>
          <w:tcPr>
            <w:tcW w:type="dxa" w:w="1474"/>
            <w:shd w:val="clear" w:color="auto" w:fill="F2F6FA"/>
          </w:tcPr>
          <w:p>
            <w:r/>
            <w:r>
              <w:rPr>
                <w:sz w:val="17"/>
              </w:rPr>
              <w:t>Publisher verified; non-UAE benchmark</w:t>
            </w:r>
          </w:p>
        </w:tc>
      </w:tr>
      <w:tr>
        <w:trPr>
          <w:cantSplit/>
        </w:trPr>
        <w:tc>
          <w:tcPr>
            <w:tcW w:type="dxa" w:w="680"/>
          </w:tcPr>
          <w:p>
            <w:r/>
            <w:r>
              <w:rPr>
                <w:sz w:val="17"/>
              </w:rPr>
              <w:t>T4</w:t>
            </w:r>
          </w:p>
        </w:tc>
        <w:tc>
          <w:tcPr>
            <w:tcW w:type="dxa" w:w="2835"/>
          </w:tcPr>
          <w:p>
            <w:r/>
            <w:r>
              <w:rPr>
                <w:sz w:val="17"/>
              </w:rPr>
              <w:t>HSE - excavations</w:t>
            </w:r>
          </w:p>
        </w:tc>
        <w:tc>
          <w:tcPr>
            <w:tcW w:type="dxa" w:w="3061"/>
          </w:tcPr>
          <w:p>
            <w:r/>
            <w:r>
              <w:rPr>
                <w:sz w:val="17"/>
              </w:rPr>
              <w:t>https://www.hse.gov.uk/construction/safetytopics/excavations.htm</w:t>
            </w:r>
          </w:p>
        </w:tc>
        <w:tc>
          <w:tcPr>
            <w:tcW w:type="dxa" w:w="3061"/>
          </w:tcPr>
          <w:p>
            <w:r/>
            <w:r>
              <w:rPr>
                <w:sz w:val="17"/>
              </w:rPr>
              <w:t>Water inflow, wet ground, pumping effects and competent inspection.</w:t>
            </w:r>
          </w:p>
        </w:tc>
        <w:tc>
          <w:tcPr>
            <w:tcW w:type="dxa" w:w="1474"/>
          </w:tcPr>
          <w:p>
            <w:r/>
            <w:r>
              <w:rPr>
                <w:sz w:val="17"/>
              </w:rPr>
              <w:t>Regulator verified; non-UAE benchmark</w:t>
            </w:r>
          </w:p>
        </w:tc>
      </w:tr>
      <w:tr>
        <w:trPr>
          <w:cantSplit/>
        </w:trPr>
        <w:tc>
          <w:tcPr>
            <w:tcW w:type="dxa" w:w="680"/>
            <w:shd w:val="clear" w:color="auto" w:fill="F2F6FA"/>
          </w:tcPr>
          <w:p>
            <w:r/>
            <w:r>
              <w:rPr>
                <w:sz w:val="17"/>
              </w:rPr>
              <w:t>T5</w:t>
            </w:r>
          </w:p>
        </w:tc>
        <w:tc>
          <w:tcPr>
            <w:tcW w:type="dxa" w:w="2835"/>
            <w:shd w:val="clear" w:color="auto" w:fill="F2F6FA"/>
          </w:tcPr>
          <w:p>
            <w:r/>
            <w:r>
              <w:rPr>
                <w:sz w:val="17"/>
              </w:rPr>
              <w:t>OSHA 2226 - trenching and excavation safety</w:t>
            </w:r>
          </w:p>
        </w:tc>
        <w:tc>
          <w:tcPr>
            <w:tcW w:type="dxa" w:w="3061"/>
            <w:shd w:val="clear" w:color="auto" w:fill="F2F6FA"/>
          </w:tcPr>
          <w:p>
            <w:r/>
            <w:r>
              <w:rPr>
                <w:sz w:val="17"/>
              </w:rPr>
              <w:t>https://www.osha.gov/sites/default/files/publications/OSHA2226.pdf</w:t>
            </w:r>
          </w:p>
        </w:tc>
        <w:tc>
          <w:tcPr>
            <w:tcW w:type="dxa" w:w="3061"/>
            <w:shd w:val="clear" w:color="auto" w:fill="F2F6FA"/>
          </w:tcPr>
          <w:p>
            <w:r/>
            <w:r>
              <w:rPr>
                <w:sz w:val="17"/>
              </w:rPr>
              <w:t>Accumulating-water, diversion and post-rain excavation control.</w:t>
            </w:r>
          </w:p>
        </w:tc>
        <w:tc>
          <w:tcPr>
            <w:tcW w:type="dxa" w:w="1474"/>
            <w:shd w:val="clear" w:color="auto" w:fill="F2F6FA"/>
          </w:tcPr>
          <w:p>
            <w:r/>
            <w:r>
              <w:rPr>
                <w:sz w:val="17"/>
              </w:rPr>
              <w:t>Regulator verified; non-UAE benchmark</w:t>
            </w:r>
          </w:p>
        </w:tc>
      </w:tr>
      <w:tr>
        <w:trPr>
          <w:cantSplit/>
        </w:trPr>
        <w:tc>
          <w:tcPr>
            <w:tcW w:type="dxa" w:w="680"/>
          </w:tcPr>
          <w:p>
            <w:r/>
            <w:r>
              <w:rPr>
                <w:sz w:val="17"/>
              </w:rPr>
              <w:t>T6</w:t>
            </w:r>
          </w:p>
        </w:tc>
        <w:tc>
          <w:tcPr>
            <w:tcW w:type="dxa" w:w="2835"/>
          </w:tcPr>
          <w:p>
            <w:r/>
            <w:r>
              <w:rPr>
                <w:sz w:val="17"/>
              </w:rPr>
              <w:t>OSHA 29 CFR 1926 Subpart P - excavations</w:t>
            </w:r>
          </w:p>
        </w:tc>
        <w:tc>
          <w:tcPr>
            <w:tcW w:type="dxa" w:w="3061"/>
          </w:tcPr>
          <w:p>
            <w:r/>
            <w:r>
              <w:rPr>
                <w:sz w:val="17"/>
              </w:rPr>
              <w:t>https://www.osha.gov/laws-regs/regulations/standardnumber/1926/1926SubpartP</w:t>
            </w:r>
          </w:p>
        </w:tc>
        <w:tc>
          <w:tcPr>
            <w:tcW w:type="dxa" w:w="3061"/>
          </w:tcPr>
          <w:p>
            <w:r/>
            <w:r>
              <w:rPr>
                <w:sz w:val="17"/>
              </w:rPr>
              <w:t>Codified excavation protective-system reference.</w:t>
            </w:r>
          </w:p>
        </w:tc>
        <w:tc>
          <w:tcPr>
            <w:tcW w:type="dxa" w:w="1474"/>
          </w:tcPr>
          <w:p>
            <w:r/>
            <w:r>
              <w:rPr>
                <w:sz w:val="17"/>
              </w:rPr>
              <w:t>Regulator verified; non-UAE benchmark</w:t>
            </w:r>
          </w:p>
        </w:tc>
      </w:tr>
      <w:tr>
        <w:trPr>
          <w:cantSplit/>
        </w:trPr>
        <w:tc>
          <w:tcPr>
            <w:tcW w:type="dxa" w:w="680"/>
            <w:shd w:val="clear" w:color="auto" w:fill="F2F6FA"/>
          </w:tcPr>
          <w:p>
            <w:r/>
            <w:r>
              <w:rPr>
                <w:sz w:val="17"/>
              </w:rPr>
              <w:t>T7</w:t>
            </w:r>
          </w:p>
        </w:tc>
        <w:tc>
          <w:tcPr>
            <w:tcW w:type="dxa" w:w="2835"/>
            <w:shd w:val="clear" w:color="auto" w:fill="F2F6FA"/>
          </w:tcPr>
          <w:p>
            <w:r/>
            <w:r>
              <w:rPr>
                <w:sz w:val="17"/>
              </w:rPr>
              <w:t>HSE L101 - safe work in confined spaces</w:t>
            </w:r>
          </w:p>
        </w:tc>
        <w:tc>
          <w:tcPr>
            <w:tcW w:type="dxa" w:w="3061"/>
            <w:shd w:val="clear" w:color="auto" w:fill="F2F6FA"/>
          </w:tcPr>
          <w:p>
            <w:r/>
            <w:r>
              <w:rPr>
                <w:sz w:val="17"/>
              </w:rPr>
              <w:t>https://www.hse.gov.uk/pubns/books/l101.htm</w:t>
            </w:r>
          </w:p>
        </w:tc>
        <w:tc>
          <w:tcPr>
            <w:tcW w:type="dxa" w:w="3061"/>
            <w:shd w:val="clear" w:color="auto" w:fill="F2F6FA"/>
          </w:tcPr>
          <w:p>
            <w:r/>
            <w:r>
              <w:rPr>
                <w:sz w:val="17"/>
              </w:rPr>
              <w:t>Permit and system of work, atmospheric testing, attendant and rescue principles.</w:t>
            </w:r>
          </w:p>
        </w:tc>
        <w:tc>
          <w:tcPr>
            <w:tcW w:type="dxa" w:w="1474"/>
            <w:shd w:val="clear" w:color="auto" w:fill="F2F6FA"/>
          </w:tcPr>
          <w:p>
            <w:r/>
            <w:r>
              <w:rPr>
                <w:sz w:val="17"/>
              </w:rPr>
              <w:t>Regulator verified; non-UAE benchmark</w:t>
            </w:r>
          </w:p>
        </w:tc>
      </w:tr>
      <w:tr>
        <w:trPr>
          <w:cantSplit/>
        </w:trPr>
        <w:tc>
          <w:tcPr>
            <w:tcW w:type="dxa" w:w="680"/>
          </w:tcPr>
          <w:p>
            <w:r/>
            <w:r>
              <w:rPr>
                <w:sz w:val="17"/>
              </w:rPr>
              <w:t>T8</w:t>
            </w:r>
          </w:p>
        </w:tc>
        <w:tc>
          <w:tcPr>
            <w:tcW w:type="dxa" w:w="2835"/>
          </w:tcPr>
          <w:p>
            <w:r/>
            <w:r>
              <w:rPr>
                <w:sz w:val="17"/>
              </w:rPr>
              <w:t>HSE - lifting operations</w:t>
            </w:r>
          </w:p>
        </w:tc>
        <w:tc>
          <w:tcPr>
            <w:tcW w:type="dxa" w:w="3061"/>
          </w:tcPr>
          <w:p>
            <w:r/>
            <w:r>
              <w:rPr>
                <w:sz w:val="17"/>
              </w:rPr>
              <w:t>https://www.hse.gov.uk/construction/safetytopics/lifting-operations.htm</w:t>
            </w:r>
          </w:p>
        </w:tc>
        <w:tc>
          <w:tcPr>
            <w:tcW w:type="dxa" w:w="3061"/>
          </w:tcPr>
          <w:p>
            <w:r/>
            <w:r>
              <w:rPr>
                <w:sz w:val="17"/>
              </w:rPr>
              <w:t>Competent planning, supervision and BS 7121 signpost.</w:t>
            </w:r>
          </w:p>
        </w:tc>
        <w:tc>
          <w:tcPr>
            <w:tcW w:type="dxa" w:w="1474"/>
          </w:tcPr>
          <w:p>
            <w:r/>
            <w:r>
              <w:rPr>
                <w:sz w:val="17"/>
              </w:rPr>
              <w:t>Regulator verified; non-UAE benchmark</w:t>
            </w:r>
          </w:p>
        </w:tc>
      </w:tr>
      <w:tr>
        <w:trPr>
          <w:cantSplit/>
        </w:trPr>
        <w:tc>
          <w:tcPr>
            <w:tcW w:type="dxa" w:w="680"/>
            <w:shd w:val="clear" w:color="auto" w:fill="F2F6FA"/>
          </w:tcPr>
          <w:p>
            <w:r/>
            <w:r>
              <w:rPr>
                <w:sz w:val="17"/>
              </w:rPr>
              <w:t>T9</w:t>
            </w:r>
          </w:p>
        </w:tc>
        <w:tc>
          <w:tcPr>
            <w:tcW w:type="dxa" w:w="2835"/>
            <w:shd w:val="clear" w:color="auto" w:fill="F2F6FA"/>
          </w:tcPr>
          <w:p>
            <w:r/>
            <w:r>
              <w:rPr>
                <w:sz w:val="17"/>
              </w:rPr>
              <w:t>CIRIA - SuDS construction guidance (C768, linking C753)</w:t>
            </w:r>
          </w:p>
        </w:tc>
        <w:tc>
          <w:tcPr>
            <w:tcW w:type="dxa" w:w="3061"/>
            <w:shd w:val="clear" w:color="auto" w:fill="F2F6FA"/>
          </w:tcPr>
          <w:p>
            <w:r/>
            <w:r>
              <w:rPr>
                <w:sz w:val="17"/>
              </w:rPr>
              <w:t>https://www.ciria.org/CIRIA/News/CIRIA_news2/CIRIA_publishes_new_guidance_on_SuDS_construction.aspx</w:t>
            </w:r>
          </w:p>
        </w:tc>
        <w:tc>
          <w:tcPr>
            <w:tcW w:type="dxa" w:w="3061"/>
            <w:shd w:val="clear" w:color="auto" w:fill="F2F6FA"/>
          </w:tcPr>
          <w:p>
            <w:r/>
            <w:r>
              <w:rPr>
                <w:sz w:val="17"/>
              </w:rPr>
              <w:t>Flow-path, erosion, flood-risk and water-quality controls.</w:t>
            </w:r>
          </w:p>
        </w:tc>
        <w:tc>
          <w:tcPr>
            <w:tcW w:type="dxa" w:w="1474"/>
            <w:shd w:val="clear" w:color="auto" w:fill="F2F6FA"/>
          </w:tcPr>
          <w:p>
            <w:r/>
            <w:r>
              <w:rPr>
                <w:sz w:val="17"/>
              </w:rPr>
              <w:t>Publisher verified; non-UAE benchmark</w:t>
            </w:r>
          </w:p>
        </w:tc>
      </w:tr>
      <w:tr>
        <w:trPr>
          <w:cantSplit/>
        </w:trPr>
        <w:tc>
          <w:tcPr>
            <w:tcW w:type="dxa" w:w="680"/>
          </w:tcPr>
          <w:p>
            <w:r/>
            <w:r>
              <w:rPr>
                <w:sz w:val="17"/>
              </w:rPr>
              <w:t>T10</w:t>
            </w:r>
          </w:p>
        </w:tc>
        <w:tc>
          <w:tcPr>
            <w:tcW w:type="dxa" w:w="2835"/>
          </w:tcPr>
          <w:p>
            <w:r/>
            <w:r>
              <w:rPr>
                <w:sz w:val="17"/>
              </w:rPr>
              <w:t>HSE - introduction to working at height safely</w:t>
            </w:r>
          </w:p>
        </w:tc>
        <w:tc>
          <w:tcPr>
            <w:tcW w:type="dxa" w:w="3061"/>
          </w:tcPr>
          <w:p>
            <w:r/>
            <w:r>
              <w:rPr>
                <w:sz w:val="17"/>
              </w:rPr>
              <w:t>https://www.hse.gov.uk/work-at-height/introduction.htm</w:t>
            </w:r>
          </w:p>
        </w:tc>
        <w:tc>
          <w:tcPr>
            <w:tcW w:type="dxa" w:w="3061"/>
          </w:tcPr>
          <w:p>
            <w:r/>
            <w:r>
              <w:rPr>
                <w:sz w:val="17"/>
              </w:rPr>
              <w:t>Stable equipment, checks, fall protection and rescue planning.</w:t>
            </w:r>
          </w:p>
        </w:tc>
        <w:tc>
          <w:tcPr>
            <w:tcW w:type="dxa" w:w="1474"/>
          </w:tcPr>
          <w:p>
            <w:r/>
            <w:r>
              <w:rPr>
                <w:sz w:val="17"/>
              </w:rPr>
              <w:t>Regulator verified; non-UAE benchmark</w:t>
            </w:r>
          </w:p>
        </w:tc>
      </w:tr>
      <w:tr>
        <w:trPr>
          <w:cantSplit/>
        </w:trPr>
        <w:tc>
          <w:tcPr>
            <w:tcW w:type="dxa" w:w="680"/>
            <w:shd w:val="clear" w:color="auto" w:fill="F2F6FA"/>
          </w:tcPr>
          <w:p>
            <w:r/>
            <w:r>
              <w:rPr>
                <w:sz w:val="17"/>
              </w:rPr>
              <w:t>EN1</w:t>
            </w:r>
          </w:p>
        </w:tc>
        <w:tc>
          <w:tcPr>
            <w:tcW w:type="dxa" w:w="2835"/>
            <w:shd w:val="clear" w:color="auto" w:fill="F2F6FA"/>
          </w:tcPr>
          <w:p>
            <w:r/>
            <w:r>
              <w:rPr>
                <w:sz w:val="17"/>
              </w:rPr>
              <w:t>Dubai Local Order No. 8 of 2002 - sewerage, irrigation and water</w:t>
            </w:r>
          </w:p>
        </w:tc>
        <w:tc>
          <w:tcPr>
            <w:tcW w:type="dxa" w:w="3061"/>
            <w:shd w:val="clear" w:color="auto" w:fill="F2F6FA"/>
          </w:tcPr>
          <w:p>
            <w:r/>
            <w:r>
              <w:rPr>
                <w:sz w:val="17"/>
              </w:rPr>
              <w:t>https://dlp.dubai.gov.ae/Legislation%20Reference/2002/Local%20Order%20No.%20(8)%20of%202002%20Concerning%20Sewerage,%20Irrigation,%20and%20Water.html</w:t>
            </w:r>
          </w:p>
        </w:tc>
        <w:tc>
          <w:tcPr>
            <w:tcW w:type="dxa" w:w="3061"/>
            <w:shd w:val="clear" w:color="auto" w:fill="F2F6FA"/>
          </w:tcPr>
          <w:p>
            <w:r/>
            <w:r>
              <w:rPr>
                <w:sz w:val="17"/>
              </w:rPr>
              <w:t>Written dewatering permit, controlled pumps, pipes and discharge, sediment, supervision and reinstatement.</w:t>
            </w:r>
          </w:p>
        </w:tc>
        <w:tc>
          <w:tcPr>
            <w:tcW w:type="dxa" w:w="1474"/>
            <w:shd w:val="clear" w:color="auto" w:fill="F2F6FA"/>
          </w:tcPr>
          <w:p>
            <w:r/>
            <w:r>
              <w:rPr>
                <w:sz w:val="17"/>
              </w:rPr>
              <w:t>Verified official legislation</w:t>
            </w:r>
          </w:p>
        </w:tc>
      </w:tr>
      <w:tr>
        <w:trPr>
          <w:cantSplit/>
        </w:trPr>
        <w:tc>
          <w:tcPr>
            <w:tcW w:type="dxa" w:w="680"/>
          </w:tcPr>
          <w:p>
            <w:r/>
            <w:r>
              <w:rPr>
                <w:sz w:val="17"/>
              </w:rPr>
              <w:t>EN2</w:t>
            </w:r>
          </w:p>
        </w:tc>
        <w:tc>
          <w:tcPr>
            <w:tcW w:type="dxa" w:w="2835"/>
          </w:tcPr>
          <w:p>
            <w:r/>
            <w:r>
              <w:rPr>
                <w:sz w:val="17"/>
              </w:rPr>
              <w:t>Dubai Green Building Regulations and Specifications</w:t>
            </w:r>
          </w:p>
        </w:tc>
        <w:tc>
          <w:tcPr>
            <w:tcW w:type="dxa" w:w="3061"/>
          </w:tcPr>
          <w:p>
            <w:r/>
            <w:r>
              <w:rPr>
                <w:sz w:val="17"/>
              </w:rPr>
              <w:t>https://dmpmedia.dm.gov.ae/uploads/2020/11/GreenBuildingRegulationsandSpeci-2.pdf</w:t>
            </w:r>
          </w:p>
        </w:tc>
        <w:tc>
          <w:tcPr>
            <w:tcW w:type="dxa" w:w="3061"/>
          </w:tcPr>
          <w:p>
            <w:r/>
            <w:r>
              <w:rPr>
                <w:sz w:val="17"/>
              </w:rPr>
              <w:t>Runoff and erosion control, waste segregation and water-system hygiene requirements.</w:t>
            </w:r>
          </w:p>
        </w:tc>
        <w:tc>
          <w:tcPr>
            <w:tcW w:type="dxa" w:w="1474"/>
          </w:tcPr>
          <w:p>
            <w:r/>
            <w:r>
              <w:rPr>
                <w:sz w:val="17"/>
              </w:rPr>
              <w:t>Verified official</w:t>
            </w:r>
          </w:p>
        </w:tc>
      </w:tr>
      <w:tr>
        <w:trPr>
          <w:cantSplit/>
        </w:trPr>
        <w:tc>
          <w:tcPr>
            <w:tcW w:type="dxa" w:w="680"/>
            <w:shd w:val="clear" w:color="auto" w:fill="F2F6FA"/>
          </w:tcPr>
          <w:p>
            <w:r/>
            <w:r>
              <w:rPr>
                <w:sz w:val="17"/>
              </w:rPr>
              <w:t>EN3</w:t>
            </w:r>
          </w:p>
        </w:tc>
        <w:tc>
          <w:tcPr>
            <w:tcW w:type="dxa" w:w="2835"/>
            <w:shd w:val="clear" w:color="auto" w:fill="F2F6FA"/>
          </w:tcPr>
          <w:p>
            <w:r/>
            <w:r>
              <w:rPr>
                <w:sz w:val="17"/>
              </w:rPr>
              <w:t>Abu Dhabi DoE - Water Quality Regulations 2025</w:t>
            </w:r>
          </w:p>
        </w:tc>
        <w:tc>
          <w:tcPr>
            <w:tcW w:type="dxa" w:w="3061"/>
            <w:shd w:val="clear" w:color="auto" w:fill="F2F6FA"/>
          </w:tcPr>
          <w:p>
            <w:r/>
            <w:r>
              <w:rPr>
                <w:sz w:val="17"/>
              </w:rPr>
              <w:t>https://www.doe.gov.ae/-/media/Project/DOE/Department-Of-Energy/Media-Center-Publications/Water-Quality-Regulation-2025.pdf</w:t>
            </w:r>
          </w:p>
        </w:tc>
        <w:tc>
          <w:tcPr>
            <w:tcW w:type="dxa" w:w="3061"/>
            <w:shd w:val="clear" w:color="auto" w:fill="F2F6FA"/>
          </w:tcPr>
          <w:p>
            <w:r/>
            <w:r>
              <w:rPr>
                <w:sz w:val="17"/>
              </w:rPr>
              <w:t>Unsafe-source sampling and water-quality and non-compliance reporting.</w:t>
            </w:r>
          </w:p>
        </w:tc>
        <w:tc>
          <w:tcPr>
            <w:tcW w:type="dxa" w:w="1474"/>
            <w:shd w:val="clear" w:color="auto" w:fill="F2F6FA"/>
          </w:tcPr>
          <w:p>
            <w:r/>
            <w:r>
              <w:rPr>
                <w:sz w:val="17"/>
              </w:rPr>
              <w:t>Verified official</w:t>
            </w:r>
          </w:p>
        </w:tc>
      </w:tr>
      <w:tr>
        <w:trPr>
          <w:cantSplit/>
        </w:trPr>
        <w:tc>
          <w:tcPr>
            <w:tcW w:type="dxa" w:w="680"/>
          </w:tcPr>
          <w:p>
            <w:r/>
            <w:r>
              <w:rPr>
                <w:sz w:val="17"/>
              </w:rPr>
              <w:t>EN4</w:t>
            </w:r>
          </w:p>
        </w:tc>
        <w:tc>
          <w:tcPr>
            <w:tcW w:type="dxa" w:w="2835"/>
          </w:tcPr>
          <w:p>
            <w:r/>
            <w:r>
              <w:rPr>
                <w:sz w:val="17"/>
              </w:rPr>
              <w:t>ADAFSA Code of Practice No. 29 of 2019 - food hygiene</w:t>
            </w:r>
          </w:p>
        </w:tc>
        <w:tc>
          <w:tcPr>
            <w:tcW w:type="dxa" w:w="3061"/>
          </w:tcPr>
          <w:p>
            <w:r/>
            <w:r>
              <w:rPr>
                <w:sz w:val="17"/>
              </w:rPr>
              <w:t>https://www.adafsa.gov.ae/CMS/Guidelines/292019.pdf</w:t>
            </w:r>
          </w:p>
        </w:tc>
        <w:tc>
          <w:tcPr>
            <w:tcW w:type="dxa" w:w="3061"/>
          </w:tcPr>
          <w:p>
            <w:r/>
            <w:r>
              <w:rPr>
                <w:sz w:val="17"/>
              </w:rPr>
              <w:t>Food permission, handlers, HACCP and GHP and traceability in Abu Dhabi.</w:t>
            </w:r>
          </w:p>
        </w:tc>
        <w:tc>
          <w:tcPr>
            <w:tcW w:type="dxa" w:w="1474"/>
          </w:tcPr>
          <w:p>
            <w:r/>
            <w:r>
              <w:rPr>
                <w:sz w:val="17"/>
              </w:rPr>
              <w:t>Verified official</w:t>
            </w:r>
          </w:p>
        </w:tc>
      </w:tr>
      <w:tr>
        <w:trPr>
          <w:cantSplit/>
        </w:trPr>
        <w:tc>
          <w:tcPr>
            <w:tcW w:type="dxa" w:w="680"/>
            <w:shd w:val="clear" w:color="auto" w:fill="F2F6FA"/>
          </w:tcPr>
          <w:p>
            <w:r/>
            <w:r>
              <w:rPr>
                <w:sz w:val="17"/>
              </w:rPr>
              <w:t>EN5</w:t>
            </w:r>
          </w:p>
        </w:tc>
        <w:tc>
          <w:tcPr>
            <w:tcW w:type="dxa" w:w="2835"/>
            <w:shd w:val="clear" w:color="auto" w:fill="F2F6FA"/>
          </w:tcPr>
          <w:p>
            <w:r/>
            <w:r>
              <w:rPr>
                <w:sz w:val="17"/>
              </w:rPr>
              <w:t>Fujairah Environment Authority - groundwater well cleaning and maintenance permit</w:t>
            </w:r>
          </w:p>
        </w:tc>
        <w:tc>
          <w:tcPr>
            <w:tcW w:type="dxa" w:w="3061"/>
            <w:shd w:val="clear" w:color="auto" w:fill="F2F6FA"/>
          </w:tcPr>
          <w:p>
            <w:r/>
            <w:r>
              <w:rPr>
                <w:sz w:val="17"/>
              </w:rPr>
              <w:t>https://services.fea.gov.ae/customer/Site/ServiceDetail/15</w:t>
            </w:r>
          </w:p>
        </w:tc>
        <w:tc>
          <w:tcPr>
            <w:tcW w:type="dxa" w:w="3061"/>
            <w:shd w:val="clear" w:color="auto" w:fill="F2F6FA"/>
          </w:tcPr>
          <w:p>
            <w:r/>
            <w:r>
              <w:rPr>
                <w:sz w:val="17"/>
              </w:rPr>
              <w:t>Prior approval, quality report and waste-management record; not a universal discharge permit.</w:t>
            </w:r>
          </w:p>
        </w:tc>
        <w:tc>
          <w:tcPr>
            <w:tcW w:type="dxa" w:w="1474"/>
            <w:shd w:val="clear" w:color="auto" w:fill="F2F6FA"/>
          </w:tcPr>
          <w:p>
            <w:r/>
            <w:r>
              <w:rPr>
                <w:sz w:val="17"/>
              </w:rPr>
              <w:t>Verified official</w:t>
            </w:r>
          </w:p>
        </w:tc>
      </w:tr>
    </w:tbl>
    <w:p/>
    <w:sectPr w:rsidR="00FC693F" w:rsidRPr="0006063C" w:rsidSect="00034616">
      <w:footerReference w:type="default" r:id="rId9"/>
      <w:pgSz w:w="11906" w:h="16838"/>
      <w:pgMar w:top="1020" w:right="1077" w:bottom="1020" w:left="107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95959"/>
        <w:sz w:val="16"/>
      </w:rPr>
      <w:t xml:space="preserve">UAE Construction Winter Rain Readiness - technical article   |   Page </w:t>
    </w:r>
    <w:r>
      <w:rPr>
        <w:sz w:val="16"/>
      </w:rPr>
      <w:fldChar w:fldCharType="begin"/>
      <w:instrText xml:space="preserve">PAGE</w:instrText>
      <w:fldChar w:fldCharType="end"/>
    </w:r>
    <w:r>
      <w:t xml:space="preserve"> of </w:t>
    </w:r>
    <w:r>
      <w:rPr>
        <w:sz w:val="16"/>
      </w:rPr>
      <w:fldChar w:fldCharType="begin"/>
      <w:instrText xml:space="preserve">NUMPAGES</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4" w:lineRule="auto"/>
    </w:pPr>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20"/>
      <w:outlineLvl w:val="0"/>
    </w:pPr>
    <w:rPr>
      <w:rFonts w:asciiTheme="majorHAnsi" w:eastAsiaTheme="majorEastAsia" w:hAnsiTheme="majorHAnsi" w:cstheme="majorBidi" w:ascii="Calibri" w:hAnsi="Calibri"/>
      <w:b/>
      <w:bCs/>
      <w:color w:val="0F2C4C"/>
      <w:sz w:val="34"/>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Theme="majorHAnsi" w:eastAsiaTheme="majorEastAsia" w:hAnsiTheme="majorHAnsi" w:cstheme="majorBidi" w:ascii="Calibri" w:hAnsi="Calibri"/>
      <w:b/>
      <w:bCs/>
      <w:color w:val="0F2C4C"/>
      <w:sz w:val="26"/>
      <w:szCs w:val="26"/>
    </w:rPr>
  </w:style>
  <w:style w:type="paragraph" w:styleId="Heading3">
    <w:name w:val="heading 3"/>
    <w:basedOn w:val="Normal"/>
    <w:next w:val="Normal"/>
    <w:link w:val="Heading3Char"/>
    <w:uiPriority w:val="9"/>
    <w:unhideWhenUsed/>
    <w:qFormat/>
    <w:rsid w:val="00FC693F"/>
    <w:pPr>
      <w:keepNext/>
      <w:keepLines/>
      <w:spacing w:before="200" w:after="60"/>
      <w:outlineLvl w:val="2"/>
    </w:pPr>
    <w:rPr>
      <w:rFonts w:asciiTheme="majorHAnsi" w:eastAsiaTheme="majorEastAsia" w:hAnsiTheme="majorHAnsi" w:cstheme="majorBidi" w:ascii="Calibri" w:hAnsi="Calibri"/>
      <w:b/>
      <w:bCs/>
      <w:color w:val="126E6E"/>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