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pStyle w:val="MdHeading1"/>
      </w:pPr>
      <w:r>
        <w:t xml:space="preserve">Site Safety UAE: The Complete Beginner's Guide</w:t>
      </w:r>
    </w:p>
    <w:p>
      <w:pPr>
        <w:pStyle w:val="MdParagraph"/>
      </w:pPr>
      <w:r>
        <w:rPr>
          <w:rStyle w:val="MdStrong"/>
          <w:b/>
          <w:bCs/>
        </w:rPr>
        <w:t xml:space="preserve">Prepared by:</w:t>
      </w:r>
      <w:r>
        <w:t xml:space="preserve"> Site Safety LLC</w:t>
      </w: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Document Information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Field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Details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Document Title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Site Safety UAE: The Complete Beginner's Guide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Purpose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A step-by-step, tier-by-tier guide for new users to learn and efficiently use every feature of the Site Safety UAE platform.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Target Audience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First-time users, HSE Officers, Site Supervisors, Project Managers</w:t>
            </w:r>
          </w:p>
        </w:tc>
      </w:tr>
    </w:tbl>
    <w:p>
      <w:pPr>
        <w:pStyle w:val="Heading2"/>
        <w:pStyle w:val="MdHeading2"/>
      </w:pPr>
      <w:r>
        <w:t xml:space="preserve">Table of Contents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Section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Topic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1.0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Welcome to Site Safety UAE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2.0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The Free Tier: Getting Started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3.0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The Pro Tier: Full HSE Operations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4.0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The Enterprise Tier: Portfolio Management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5.0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The 52-Module Training Library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6.0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Trust &amp; AI Safety Guidelines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7.0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Support &amp; Troubleshooting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Appendix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Reference Links</w:t>
            </w:r>
          </w:p>
        </w:tc>
      </w:tr>
    </w:tbl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1.0 Welcome to Site Safety UAE</w:t>
      </w:r>
    </w:p>
    <w:p>
      <w:pPr>
        <w:pStyle w:val="MdParagraph"/>
      </w:pPr>
      <w:r>
        <w:t xml:space="preserve">If you are reading this, you are likely looking for a better way to manage health, safety, and environmental (HSE) compliance on a construction site in the UAE. Site Safety UAE replaces scattered WhatsApp messages, lost paper forms, and messy Excel sheets with a single, secure digital dashboard [1]. 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This guide assumes you know nothing about the software. We will walk you through exactly what you get at each pricing level, how to use every feature step-by-step, and provide practical tips to make your day easier. 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Key Platform Facts Before You Start: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No App Required:</w:t>
      </w:r>
      <w:r>
        <w:t xml:space="preserve"> The platform works directly in your phone's browser. You do not need to download anything from an app store.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Offline Capable:</w:t>
      </w:r>
      <w:r>
        <w:t xml:space="preserve"> If you lose 4G signal in a basement or on a remote site, the platform saves your work offline and automatically syncs when you reconnect.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Bilingual:</w:t>
      </w:r>
      <w:r>
        <w:t xml:space="preserve"> The entire interface is available in both English and Arabic.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Multi-Org Workspaces:</w:t>
      </w:r>
      <w:r>
        <w:t xml:space="preserve"> Main contractors can invite subcontractors into the same project. Each organization sees only what they should, but the project maintains a single shared audit trail [11].</w:t>
      </w:r>
    </w:p>
    <w:p>
      <w:pPr>
        <w:pStyle w:val="MdSpace"/>
        <w:spacing w:before="0" w:after="60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2.0 The Free Tier: Getting Started</w:t>
      </w:r>
    </w:p>
    <w:p>
      <w:pPr>
        <w:pStyle w:val="MdParagraph"/>
      </w:pPr>
      <w:r>
        <w:rPr>
          <w:rStyle w:val="MdStrong"/>
          <w:b/>
          <w:bCs/>
        </w:rPr>
        <w:t xml:space="preserve">Who is this for?</w:t>
      </w:r>
      <w:r>
        <w:t xml:space="preserve"> HSE officers or site supervisors who want to test the platform on a single site without spending any money or entering a credit card [2].
</w:t>
      </w:r>
      <w:r>
        <w:rPr>
          <w:rStyle w:val="MdStrong"/>
          <w:b/>
          <w:bCs/>
        </w:rPr>
        <w:t xml:space="preserve">What you get:</w:t>
      </w:r>
      <w:r>
        <w:t xml:space="preserve"> 1 active project site, 2 GB of storage, digital Permits to Work, Incident Reporting, Toolbox Talks, and Workforce Management. (Note: There is a 7-day grace period if you hit the storage cap).</w:t>
      </w: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2.1 How to Report an Incident or Near-Miss</w:t>
      </w:r>
    </w:p>
    <w:p>
      <w:pPr>
        <w:pStyle w:val="MdParagraph"/>
      </w:pPr>
      <w:r>
        <w:t xml:space="preserve">When you spot a hazard or an incident occurs, you need to capture it immediately before the scene changes. 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Step-by-Step:</w:t>
      </w:r>
    </w:p>
    <w:p>
      <w:pPr>
        <w:pStyle w:val="MdListItem"/>
        <w:numPr>
          <w:ilvl w:val="0"/>
          <w:numId w:val="3"/>
        </w:numPr>
      </w:pPr>
      <w:r>
        <w:t xml:space="preserve">Open the platform on your phone and tap the </w:t>
      </w:r>
      <w:r>
        <w:rPr>
          <w:rStyle w:val="MdStrong"/>
          <w:b/>
          <w:bCs/>
        </w:rPr>
        <w:t xml:space="preserve">Report Incident</w:t>
      </w:r>
      <w:r>
        <w:t xml:space="preserve"> button.</w:t>
      </w:r>
    </w:p>
    <w:p>
      <w:pPr>
        <w:pStyle w:val="MdListItem"/>
        <w:numPr>
          <w:ilvl w:val="0"/>
          <w:numId w:val="3"/>
        </w:numPr>
      </w:pPr>
      <w:r>
        <w:rPr>
          <w:rStyle w:val="MdStrong"/>
          <w:b/>
          <w:bCs/>
        </w:rPr>
        <w:t xml:space="preserve">Add Photos:</w:t>
      </w:r>
      <w:r>
        <w:t xml:space="preserve"> Tap the camera icon to take photos of the hazard or incident scene.</w:t>
      </w:r>
    </w:p>
    <w:p>
      <w:pPr>
        <w:pStyle w:val="MdListItem"/>
        <w:numPr>
          <w:ilvl w:val="0"/>
          <w:numId w:val="3"/>
        </w:numPr>
      </w:pPr>
      <w:r>
        <w:rPr>
          <w:rStyle w:val="MdStrong"/>
          <w:b/>
          <w:bCs/>
        </w:rPr>
        <w:t xml:space="preserve">Location:</w:t>
      </w:r>
      <w:r>
        <w:t xml:space="preserve"> Allow the browser to access your location so the report is geo-tagged.</w:t>
      </w:r>
    </w:p>
    <w:p>
      <w:pPr>
        <w:pStyle w:val="MdListItem"/>
        <w:numPr>
          <w:ilvl w:val="0"/>
          <w:numId w:val="3"/>
        </w:numPr>
      </w:pPr>
      <w:r>
        <w:rPr>
          <w:rStyle w:val="MdStrong"/>
          <w:b/>
          <w:bCs/>
        </w:rPr>
        <w:t xml:space="preserve">AI Assistance:</w:t>
      </w:r>
      <w:r>
        <w:t xml:space="preserve"> Wait a few seconds. The AI will analyze your photos and suggest a description, hazard categories, and a severity level. The AI even links each suggested finding back to the specific source photo so you can audit its reasoning [13].</w:t>
      </w:r>
    </w:p>
    <w:p>
      <w:pPr>
        <w:pStyle w:val="MdListItem"/>
        <w:numPr>
          <w:ilvl w:val="0"/>
          <w:numId w:val="3"/>
        </w:numPr>
      </w:pPr>
      <w:r>
        <w:rPr>
          <w:rStyle w:val="MdStrong"/>
          <w:b/>
          <w:bCs/>
        </w:rPr>
        <w:t xml:space="preserve">Review &amp; Submit:</w:t>
      </w:r>
      <w:r>
        <w:t xml:space="preserve"> Read the AI's suggestions. Edit anything that isn't perfect, then sign in (if you aren't already) and tap </w:t>
      </w:r>
      <w:r>
        <w:rPr>
          <w:rStyle w:val="MdStrong"/>
          <w:b/>
          <w:bCs/>
        </w:rPr>
        <w:t xml:space="preserve">Submit</w:t>
      </w:r>
      <w:r>
        <w:t xml:space="preserve">.</w:t>
      </w:r>
    </w:p>
    <w:p>
      <w:pPr>
        <w:pStyle w:val="MdSpace"/>
        <w:spacing w:before="0" w:after="60"/>
      </w:pPr>
    </w:p>
    <w:p>
      <w:pPr>
        <w:pStyle w:val="MdBlockquote"/>
      </w:pPr>
      <w:r>
        <w:rPr>
          <w:rStyle w:val="MdStrong"/>
          <w:b/>
          <w:bCs/>
        </w:rPr>
        <w:t xml:space="preserve">💡 Pro Tip:</w:t>
      </w:r>
      <w:r>
        <w:t xml:space="preserve"> Add the Report Incident page to your phone's home screen for one-tap access. The form will prefill your location and timestamp, and even works offline with a saved draft [13].</w:t>
      </w: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2.2 How to Manage Permits to Work (PTW)</w:t>
      </w:r>
    </w:p>
    <w:p>
      <w:pPr>
        <w:pStyle w:val="MdParagraph"/>
      </w:pPr>
      <w:r>
        <w:t xml:space="preserve">A Permit to Work ensures high-risk tasks are reviewed and controlled before they start. The Free tier includes the full digital PTW workflow [4].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Step-by-Step:</w:t>
      </w:r>
    </w:p>
    <w:p>
      <w:pPr>
        <w:pStyle w:val="MdListItem"/>
        <w:numPr>
          <w:ilvl w:val="0"/>
          <w:numId w:val="3"/>
        </w:numPr>
      </w:pPr>
      <w:r>
        <w:t xml:space="preserve">Navigate to the </w:t>
      </w:r>
      <w:r>
        <w:rPr>
          <w:rStyle w:val="MdStrong"/>
          <w:b/>
          <w:bCs/>
        </w:rPr>
        <w:t xml:space="preserve">Permits</w:t>
      </w:r>
      <w:r>
        <w:t xml:space="preserve"> section in your dashboard.</w:t>
      </w:r>
    </w:p>
    <w:p>
      <w:pPr>
        <w:pStyle w:val="MdListItem"/>
        <w:numPr>
          <w:ilvl w:val="0"/>
          <w:numId w:val="3"/>
        </w:numPr>
      </w:pPr>
      <w:r>
        <w:t xml:space="preserve">Click </w:t>
      </w:r>
      <w:r>
        <w:rPr>
          <w:rStyle w:val="MdStrong"/>
          <w:b/>
          <w:bCs/>
        </w:rPr>
        <w:t xml:space="preserve">Create New Permit</w:t>
      </w:r>
      <w:r>
        <w:t xml:space="preserve"> and select the type (e.g., Hot Work, Confined Space).</w:t>
      </w:r>
    </w:p>
    <w:p>
      <w:pPr>
        <w:pStyle w:val="MdListItem"/>
        <w:numPr>
          <w:ilvl w:val="0"/>
          <w:numId w:val="3"/>
        </w:numPr>
      </w:pPr>
      <w:r>
        <w:t xml:space="preserve">Fill in the location, time, and link it to the relevant Method Statement &amp; Risk Assessment (MSRA).</w:t>
      </w:r>
    </w:p>
    <w:p>
      <w:pPr>
        <w:pStyle w:val="MdListItem"/>
        <w:numPr>
          <w:ilvl w:val="0"/>
          <w:numId w:val="3"/>
        </w:numPr>
      </w:pPr>
      <w:r>
        <w:rPr>
          <w:rStyle w:val="MdStrong"/>
          <w:b/>
          <w:bCs/>
        </w:rPr>
        <w:t xml:space="preserve">Digital Signatures:</w:t>
      </w:r>
      <w:r>
        <w:t xml:space="preserve"> The Permit Issuer and Receiver can sign directly on a tablet or phone screen on site. The signature is fingerprinted and geo-stamped.</w:t>
      </w:r>
    </w:p>
    <w:p>
      <w:pPr>
        <w:pStyle w:val="MdListItem"/>
        <w:numPr>
          <w:ilvl w:val="0"/>
          <w:numId w:val="3"/>
        </w:numPr>
      </w:pPr>
      <w:r>
        <w:rPr>
          <w:rStyle w:val="MdStrong"/>
          <w:b/>
          <w:bCs/>
        </w:rPr>
        <w:t xml:space="preserve">Close-Out:</w:t>
      </w:r>
      <w:r>
        <w:t xml:space="preserve"> When the work is done, the Receiver logs back in, confirms the area is safe, and signs to close the permit.</w:t>
      </w:r>
    </w:p>
    <w:p>
      <w:pPr>
        <w:pStyle w:val="MdSpace"/>
        <w:spacing w:before="0" w:after="60"/>
      </w:pPr>
    </w:p>
    <w:p>
      <w:pPr>
        <w:pStyle w:val="MdBlockquote"/>
      </w:pPr>
      <w:r>
        <w:rPr>
          <w:rStyle w:val="MdStrong"/>
          <w:b/>
          <w:bCs/>
        </w:rPr>
        <w:t xml:space="preserve">💡 Pro Tip:</w:t>
      </w:r>
      <w:r>
        <w:t xml:space="preserve"> The system features a </w:t>
      </w:r>
      <w:r>
        <w:rPr>
          <w:rStyle w:val="MdStrong"/>
          <w:b/>
          <w:bCs/>
        </w:rPr>
        <w:t xml:space="preserve">SIMOPS Conflict Detection Engine</w:t>
      </w:r>
      <w:r>
        <w:t xml:space="preserve">. If you try to issue a Hot Work permit in the exact same zone where a Confined Space permit is already active, the system will flash a warning to prevent dangerous simultaneous operations.</w:t>
      </w: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2.3 Managing Your Workforce &amp; Toolbox Talks</w:t>
      </w:r>
    </w:p>
    <w:p>
      <w:pPr>
        <w:pStyle w:val="MdParagraph"/>
      </w:pPr>
      <w:r>
        <w:t xml:space="preserve">You need to know who is on your site and ensure they have received their daily safety briefings.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Step-by-Step:</w:t>
      </w:r>
    </w:p>
    <w:p>
      <w:pPr>
        <w:pStyle w:val="MdListItem"/>
        <w:numPr>
          <w:ilvl w:val="0"/>
          <w:numId w:val="3"/>
        </w:numPr>
      </w:pPr>
      <w:r>
        <w:t xml:space="preserve">Add your workers to the </w:t>
      </w:r>
      <w:r>
        <w:rPr>
          <w:rStyle w:val="MdStrong"/>
          <w:b/>
          <w:bCs/>
        </w:rPr>
        <w:t xml:space="preserve">Worker Register</w:t>
      </w:r>
      <w:r>
        <w:t xml:space="preserve">.</w:t>
      </w:r>
    </w:p>
    <w:p>
      <w:pPr>
        <w:pStyle w:val="MdListItem"/>
        <w:numPr>
          <w:ilvl w:val="0"/>
          <w:numId w:val="3"/>
        </w:numPr>
      </w:pPr>
      <w:r>
        <w:t xml:space="preserve">When conducting a morning Toolbox Talk (TBT), generate a </w:t>
      </w:r>
      <w:r>
        <w:rPr>
          <w:rStyle w:val="MdStrong"/>
          <w:b/>
          <w:bCs/>
        </w:rPr>
        <w:t xml:space="preserve">TBT QR Code</w:t>
      </w:r>
      <w:r>
        <w:t xml:space="preserve"> from the dashboard.</w:t>
      </w:r>
    </w:p>
    <w:p>
      <w:pPr>
        <w:pStyle w:val="MdListItem"/>
        <w:numPr>
          <w:ilvl w:val="0"/>
          <w:numId w:val="3"/>
        </w:numPr>
      </w:pPr>
      <w:r>
        <w:t xml:space="preserve">Have workers scan the QR code with their phones (or you scan their ID badges) to instantly log their attendance.</w:t>
      </w:r>
    </w:p>
    <w:p>
      <w:pPr>
        <w:pStyle w:val="MdSpace"/>
        <w:spacing w:before="0" w:after="60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3.0 The Pro Tier: Full HSE Operations</w:t>
      </w:r>
    </w:p>
    <w:p>
      <w:pPr>
        <w:pStyle w:val="MdParagraph"/>
      </w:pPr>
      <w:r>
        <w:rPr>
          <w:rStyle w:val="MdStrong"/>
          <w:b/>
          <w:bCs/>
        </w:rPr>
        <w:t xml:space="preserve">Who is this for?</w:t>
      </w:r>
      <w:r>
        <w:t xml:space="preserve"> Standard projects that need to manage documents, inspections, subcontractors, and corrective actions. You can test this with a 30-day free trial (no card required) [2].
</w:t>
      </w:r>
      <w:r>
        <w:rPr>
          <w:rStyle w:val="MdStrong"/>
          <w:b/>
          <w:bCs/>
        </w:rPr>
        <w:t xml:space="preserve">What you get:</w:t>
      </w:r>
      <w:r>
        <w:t xml:space="preserve"> Up to 3 sites, 50 GB storage, everything in Free, plus Document Control, Inspections, CAPA, AI Drafting tools, Subcontractor Management, and WhatsApp Alerts.</w:t>
      </w: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3.1 Document Control &amp; Expiry Alerts</w:t>
      </w:r>
    </w:p>
    <w:p>
      <w:pPr>
        <w:pStyle w:val="MdParagraph"/>
      </w:pPr>
      <w:r>
        <w:t xml:space="preserve">Stop using shared drives where no one knows which MSRA is the latest version [5].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Step-by-Step:</w:t>
      </w:r>
    </w:p>
    <w:p>
      <w:pPr>
        <w:pStyle w:val="MdListItem"/>
        <w:numPr>
          <w:ilvl w:val="0"/>
          <w:numId w:val="3"/>
        </w:numPr>
      </w:pPr>
      <w:r>
        <w:t xml:space="preserve">Go to </w:t>
      </w:r>
      <w:r>
        <w:rPr>
          <w:rStyle w:val="MdStrong"/>
          <w:b/>
          <w:bCs/>
        </w:rPr>
        <w:t xml:space="preserve">Documents &amp; Compliance Registers</w:t>
      </w:r>
      <w:r>
        <w:t xml:space="preserve">.</w:t>
      </w:r>
    </w:p>
    <w:p>
      <w:pPr>
        <w:pStyle w:val="MdListItem"/>
        <w:numPr>
          <w:ilvl w:val="0"/>
          <w:numId w:val="3"/>
        </w:numPr>
      </w:pPr>
      <w:r>
        <w:t xml:space="preserve">Upload your Method Statements, RAMS, and third-party certificates (like crane inspections or operator licences).</w:t>
      </w:r>
    </w:p>
    <w:p>
      <w:pPr>
        <w:pStyle w:val="MdListItem"/>
        <w:numPr>
          <w:ilvl w:val="0"/>
          <w:numId w:val="3"/>
        </w:numPr>
      </w:pPr>
      <w:r>
        <w:rPr>
          <w:rStyle w:val="MdStrong"/>
          <w:b/>
          <w:bCs/>
        </w:rPr>
        <w:t xml:space="preserve">Set Expiry Dates:</w:t>
      </w:r>
      <w:r>
        <w:t xml:space="preserve"> When uploading a certificate, always input its expiry date.</w:t>
      </w:r>
    </w:p>
    <w:p>
      <w:pPr>
        <w:pStyle w:val="MdListItem"/>
        <w:numPr>
          <w:ilvl w:val="0"/>
          <w:numId w:val="3"/>
        </w:numPr>
      </w:pPr>
      <w:r>
        <w:rPr>
          <w:rStyle w:val="MdStrong"/>
          <w:b/>
          <w:bCs/>
        </w:rPr>
        <w:t xml:space="preserve">Automated Alerts:</w:t>
      </w:r>
      <w:r>
        <w:t xml:space="preserve"> The system will automatically send you an email and WhatsApp alert before that certificate expires, preventing silent compliance failures.</w:t>
      </w:r>
    </w:p>
    <w:p>
      <w:pPr>
        <w:pStyle w:val="MdSpace"/>
        <w:spacing w:before="0" w:after="60"/>
      </w:pPr>
    </w:p>
    <w:p>
      <w:pPr>
        <w:pStyle w:val="MdBlockquote"/>
      </w:pPr>
      <w:r>
        <w:rPr>
          <w:rStyle w:val="MdStrong"/>
          <w:b/>
          <w:bCs/>
        </w:rPr>
        <w:t xml:space="preserve">💡 Pro Tip:</w:t>
      </w:r>
      <w:r>
        <w:t xml:space="preserve"> Use the </w:t>
      </w:r>
      <w:r>
        <w:rPr>
          <w:rStyle w:val="MdStrong"/>
          <w:b/>
          <w:bCs/>
        </w:rPr>
        <w:t xml:space="preserve">Acknowledgements</w:t>
      </w:r>
      <w:r>
        <w:t xml:space="preserve"> feature. You can send a document digitally to a supervisor and track whether they have actually opened and acknowledged reading it.</w:t>
      </w: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3.2 AI-Assisted MSRA Drafting</w:t>
      </w:r>
    </w:p>
    <w:p>
      <w:pPr>
        <w:pStyle w:val="MdParagraph"/>
      </w:pPr>
      <w:r>
        <w:t xml:space="preserve">Writing a Method Statement and Risk Assessment (MSRA) from scratch takes hours. The Pro tier's AI assistant can help [5].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Step-by-Step:</w:t>
      </w:r>
    </w:p>
    <w:p>
      <w:pPr>
        <w:pStyle w:val="MdListItem"/>
        <w:numPr>
          <w:ilvl w:val="0"/>
          <w:numId w:val="3"/>
        </w:numPr>
      </w:pPr>
      <w:r>
        <w:t xml:space="preserve">In the Documents module, select </w:t>
      </w:r>
      <w:r>
        <w:rPr>
          <w:rStyle w:val="MdStrong"/>
          <w:b/>
          <w:bCs/>
        </w:rPr>
        <w:t xml:space="preserve">Draft MSRA with AI</w:t>
      </w:r>
      <w:r>
        <w:t xml:space="preserve">.</w:t>
      </w:r>
    </w:p>
    <w:p>
      <w:pPr>
        <w:pStyle w:val="MdListItem"/>
        <w:numPr>
          <w:ilvl w:val="0"/>
          <w:numId w:val="3"/>
        </w:numPr>
      </w:pPr>
      <w:r>
        <w:t xml:space="preserve">Type in a plain-English description of the scope of work (e.g., "Installing glass curtain wall panels on level 12 using a tower crane").</w:t>
      </w:r>
    </w:p>
    <w:p>
      <w:pPr>
        <w:pStyle w:val="MdListItem"/>
        <w:numPr>
          <w:ilvl w:val="0"/>
          <w:numId w:val="3"/>
        </w:numPr>
      </w:pPr>
      <w:r>
        <w:t xml:space="preserve">The AI will generate a first-draft MSRA, including suggested hazards and controls based on UAE standards.</w:t>
      </w:r>
    </w:p>
    <w:p>
      <w:pPr>
        <w:pStyle w:val="MdListItem"/>
        <w:numPr>
          <w:ilvl w:val="0"/>
          <w:numId w:val="3"/>
        </w:numPr>
      </w:pPr>
      <w:r>
        <w:rPr>
          <w:rStyle w:val="MdStrong"/>
          <w:b/>
          <w:bCs/>
        </w:rPr>
        <w:t xml:space="preserve">Crucial Step:</w:t>
      </w:r>
      <w:r>
        <w:t xml:space="preserve"> You must manually review, edit, and approve every line. The AI is a drafter, not a certified safety engineer.</w:t>
      </w: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3.3 Daily Inspections &amp; CAPA Management</w:t>
      </w:r>
    </w:p>
    <w:p>
      <w:pPr>
        <w:pStyle w:val="MdParagraph"/>
      </w:pPr>
      <w:r>
        <w:t xml:space="preserve">Move your daily site walks from paper clipboards to your mobile device [6].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Step-by-Step:</w:t>
      </w:r>
    </w:p>
    <w:p>
      <w:pPr>
        <w:pStyle w:val="MdListItem"/>
        <w:numPr>
          <w:ilvl w:val="0"/>
          <w:numId w:val="3"/>
        </w:numPr>
      </w:pPr>
      <w:r>
        <w:t xml:space="preserve">Open the </w:t>
      </w:r>
      <w:r>
        <w:rPr>
          <w:rStyle w:val="MdStrong"/>
          <w:b/>
          <w:bCs/>
        </w:rPr>
        <w:t xml:space="preserve">Inspections</w:t>
      </w:r>
      <w:r>
        <w:t xml:space="preserve"> module on your phone.</w:t>
      </w:r>
    </w:p>
    <w:p>
      <w:pPr>
        <w:pStyle w:val="MdListItem"/>
        <w:numPr>
          <w:ilvl w:val="0"/>
          <w:numId w:val="3"/>
        </w:numPr>
      </w:pPr>
      <w:r>
        <w:t xml:space="preserve">Select a configurable checklist (e.g., "Scaffolding Check" or "Housekeeping").</w:t>
      </w:r>
    </w:p>
    <w:p>
      <w:pPr>
        <w:pStyle w:val="MdListItem"/>
        <w:numPr>
          <w:ilvl w:val="0"/>
          <w:numId w:val="3"/>
        </w:numPr>
      </w:pPr>
      <w:r>
        <w:t xml:space="preserve">Walk the site, ticking boxes. If something fails, snap a photo.</w:t>
      </w:r>
    </w:p>
    <w:p>
      <w:pPr>
        <w:pStyle w:val="MdListItem"/>
        <w:numPr>
          <w:ilvl w:val="0"/>
          <w:numId w:val="3"/>
        </w:numPr>
      </w:pPr>
      <w:r>
        <w:rPr>
          <w:rStyle w:val="MdStrong"/>
          <w:b/>
          <w:bCs/>
        </w:rPr>
        <w:t xml:space="preserve">Assign a CAPA:</w:t>
      </w:r>
      <w:r>
        <w:t xml:space="preserve"> For any failed item, immediately create a Corrective and Preventive Action (CAPA). Assign it to a specific person (e.g., the subcontractor foreman) with a deadline.</w:t>
      </w:r>
    </w:p>
    <w:p>
      <w:pPr>
        <w:pStyle w:val="MdListItem"/>
        <w:numPr>
          <w:ilvl w:val="0"/>
          <w:numId w:val="3"/>
        </w:numPr>
      </w:pPr>
      <w:r>
        <w:t xml:space="preserve">The assignee will receive a notification and must upload a photo of the fixed issue to close the CAPA.</w:t>
      </w: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3.4 People, Training &amp; Subcontractor Compliance</w:t>
      </w:r>
    </w:p>
    <w:p>
      <w:pPr>
        <w:pStyle w:val="MdParagraph"/>
      </w:pPr>
      <w:r>
        <w:t xml:space="preserve">Managing third-party workers is a major legal liability under UAE law.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Step-by-Step:</w:t>
      </w:r>
    </w:p>
    <w:p>
      <w:pPr>
        <w:pStyle w:val="MdListItem"/>
        <w:numPr>
          <w:ilvl w:val="0"/>
          <w:numId w:val="3"/>
        </w:numPr>
      </w:pPr>
      <w:r>
        <w:t xml:space="preserve">In the </w:t>
      </w:r>
      <w:r>
        <w:rPr>
          <w:rStyle w:val="MdStrong"/>
          <w:b/>
          <w:bCs/>
        </w:rPr>
        <w:t xml:space="preserve">People &amp; Training</w:t>
      </w:r>
      <w:r>
        <w:t xml:space="preserve"> module, upload worker training certificates. Use the </w:t>
      </w:r>
      <w:r>
        <w:rPr>
          <w:rStyle w:val="MdStrong"/>
          <w:b/>
          <w:bCs/>
        </w:rPr>
        <w:t xml:space="preserve">AI Certificate OCR</w:t>
      </w:r>
      <w:r>
        <w:t xml:space="preserve"> tool — it reads the certificate automatically and extracts the holder's name, course title, and expiry date. No manual typing needed.</w:t>
      </w:r>
    </w:p>
    <w:p>
      <w:pPr>
        <w:pStyle w:val="MdListItem"/>
        <w:numPr>
          <w:ilvl w:val="0"/>
          <w:numId w:val="3"/>
        </w:numPr>
      </w:pPr>
      <w:r>
        <w:t xml:space="preserve">View the </w:t>
      </w:r>
      <w:r>
        <w:rPr>
          <w:rStyle w:val="MdStrong"/>
          <w:b/>
          <w:bCs/>
        </w:rPr>
        <w:t xml:space="preserve">Training Matrix</w:t>
      </w:r>
      <w:r>
        <w:t xml:space="preserve">, which shows a live grid of every worker vs. every required training course (Red = expired/missing, Green = valid).</w:t>
      </w:r>
    </w:p>
    <w:p>
      <w:pPr>
        <w:pStyle w:val="MdListItem"/>
        <w:numPr>
          <w:ilvl w:val="0"/>
          <w:numId w:val="3"/>
        </w:numPr>
      </w:pPr>
      <w:r>
        <w:t xml:space="preserve">Run the </w:t>
      </w:r>
      <w:r>
        <w:rPr>
          <w:rStyle w:val="MdStrong"/>
          <w:b/>
          <w:bCs/>
        </w:rPr>
        <w:t xml:space="preserve">HSE Pre-Qualification</w:t>
      </w:r>
      <w:r>
        <w:t xml:space="preserve"> checklist before any subcontractor starts work to check their insurance and incident history.</w:t>
      </w:r>
    </w:p>
    <w:p>
      <w:pPr>
        <w:pStyle w:val="MdListItem"/>
        <w:numPr>
          <w:ilvl w:val="0"/>
          <w:numId w:val="3"/>
        </w:numPr>
      </w:pPr>
      <w:r>
        <w:t xml:space="preserve">Use the </w:t>
      </w:r>
      <w:r>
        <w:rPr>
          <w:rStyle w:val="MdStrong"/>
          <w:b/>
          <w:bCs/>
        </w:rPr>
        <w:t xml:space="preserve">Gate Pass</w:t>
      </w:r>
      <w:r>
        <w:t xml:space="preserve"> feature: The gate officer scans a worker's QR code each morning. The system instantly confirms valid training and today's TBT attendance before granting access.</w:t>
      </w:r>
    </w:p>
    <w:p>
      <w:pPr>
        <w:pStyle w:val="MdSpace"/>
        <w:spacing w:before="0" w:after="60"/>
      </w:pPr>
    </w:p>
    <w:p>
      <w:pPr>
        <w:pStyle w:val="MdBlockquote"/>
      </w:pPr>
      <w:r>
        <w:rPr>
          <w:rStyle w:val="MdStrong"/>
          <w:b/>
          <w:bCs/>
        </w:rPr>
        <w:t xml:space="preserve">💡 Pro Tip:</w:t>
      </w:r>
      <w:r>
        <w:t xml:space="preserve"> The system generates a live </w:t>
      </w:r>
      <w:r>
        <w:rPr>
          <w:rStyle w:val="MdStrong"/>
          <w:b/>
          <w:bCs/>
        </w:rPr>
        <w:t xml:space="preserve">Subcontractor HSE Risk Score</w:t>
      </w:r>
      <w:r>
        <w:t xml:space="preserve"> based on their inspection results, incident rate, and document currency. Use this data in weekly meetings to address performance. If a subcontractor repeatedly fails, use the </w:t>
      </w:r>
      <w:r>
        <w:rPr>
          <w:rStyle w:val="MdStrong"/>
          <w:b/>
          <w:bCs/>
        </w:rPr>
        <w:t xml:space="preserve">AI-assisted Warning Letter</w:t>
      </w:r>
      <w:r>
        <w:t xml:space="preserve"> tool to formally document the escalation.</w:t>
      </w: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3.5 Advanced Pro Features</w:t>
      </w:r>
    </w:p>
    <w:p>
      <w:pPr>
        <w:pStyle w:val="MdParagraph"/>
      </w:pPr>
      <w:r>
        <w:t xml:space="preserve">Do not miss these powerful tools included in your Pro subscription: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LOTO Register:</w:t>
      </w:r>
      <w:r>
        <w:t xml:space="preserve"> Link Lockout/Tagout isolation points directly to permits, requiring re-energisation checks before work resumes.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Lifting &amp; Critical Lifts:</w:t>
      </w:r>
      <w:r>
        <w:t xml:space="preserve"> Track crane certificates, rigger competency, and store lifting plans in one place.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Health Surveillance &amp; Fatigue Monitoring:</w:t>
      </w:r>
      <w:r>
        <w:t xml:space="preserve"> Track medical fitness and run pre-shift fatigue risk assessments — critical during the UAE summer.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Management of Change (MoC):</w:t>
      </w:r>
      <w:r>
        <w:t xml:space="preserve"> Document and control any mid-project changes to scope, methods, or personnel.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Night Work Permits:</w:t>
      </w:r>
      <w:r>
        <w:t xml:space="preserve"> Manage the 5-step approval chain, upload lux-level evidence, and attach NOCs for night operations [13].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WhatsApp Alerts for High-Risk PTW:</w:t>
      </w:r>
      <w:r>
        <w:t xml:space="preserve"> When a high-risk permit is issued or closed, linked site contacts receive an instant WhatsApp alert to help coordinate inspection rounds [13].</w:t>
      </w:r>
    </w:p>
    <w:p>
      <w:pPr>
        <w:pStyle w:val="MdSpace"/>
        <w:spacing w:before="0" w:after="60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4.0 The Enterprise Tier: Portfolio Management</w:t>
      </w:r>
    </w:p>
    <w:p>
      <w:pPr>
        <w:pStyle w:val="MdParagraph"/>
      </w:pPr>
      <w:r>
        <w:rPr>
          <w:rStyle w:val="MdStrong"/>
          <w:b/>
          <w:bCs/>
        </w:rPr>
        <w:t xml:space="preserve">Who is this for?</w:t>
      </w:r>
      <w:r>
        <w:t xml:space="preserve"> Large main contractors, developers, and PMCs running multiple sites who need to report to UAE authorities [2].
</w:t>
      </w:r>
      <w:r>
        <w:rPr>
          <w:rStyle w:val="MdStrong"/>
          <w:b/>
          <w:bCs/>
        </w:rPr>
        <w:t xml:space="preserve">What you get:</w:t>
      </w:r>
      <w:r>
        <w:t xml:space="preserve"> Unlimited sites/users, 1 TB storage, everything in Pro, plus UAE Authority Templates, SAML SSO, ISO 45001 Self-Audits, MOHRE Validation, and a Dedicated Success Manager.</w:t>
      </w: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4.1 UAE Authority Reporting &amp; Browser</w:t>
      </w:r>
    </w:p>
    <w:p>
      <w:pPr>
        <w:pStyle w:val="MdParagraph"/>
      </w:pPr>
      <w:r>
        <w:t xml:space="preserve">When Dubai Municipality or ADOSH-SF asks for a report, you shouldn't have to spend a weekend building it from scratch [7].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Step-by-Step:</w:t>
      </w:r>
    </w:p>
    <w:p>
      <w:pPr>
        <w:pStyle w:val="MdListItem"/>
        <w:numPr>
          <w:ilvl w:val="0"/>
          <w:numId w:val="3"/>
        </w:numPr>
      </w:pPr>
      <w:r>
        <w:t xml:space="preserve">Navigate to the </w:t>
      </w:r>
      <w:r>
        <w:rPr>
          <w:rStyle w:val="MdStrong"/>
          <w:b/>
          <w:bCs/>
        </w:rPr>
        <w:t xml:space="preserve">Reporting &amp; Authority Submissions</w:t>
      </w:r>
      <w:r>
        <w:t xml:space="preserve"> module.</w:t>
      </w:r>
    </w:p>
    <w:p>
      <w:pPr>
        <w:pStyle w:val="MdListItem"/>
        <w:numPr>
          <w:ilvl w:val="0"/>
          <w:numId w:val="3"/>
        </w:numPr>
      </w:pPr>
      <w:r>
        <w:t xml:space="preserve">Select the required authority template (e.g., MOIAT, ADOSH-SF, Trakhees).</w:t>
      </w:r>
    </w:p>
    <w:p>
      <w:pPr>
        <w:pStyle w:val="MdListItem"/>
        <w:numPr>
          <w:ilvl w:val="0"/>
          <w:numId w:val="3"/>
        </w:numPr>
      </w:pPr>
      <w:r>
        <w:t xml:space="preserve">The system will automatically pull your site's data (incident rates, manhours, open CAPAs) and pre-fill the exact format required by that specific UAE regulator.</w:t>
      </w:r>
    </w:p>
    <w:p>
      <w:pPr>
        <w:pStyle w:val="MdListItem"/>
        <w:numPr>
          <w:ilvl w:val="0"/>
          <w:numId w:val="3"/>
        </w:numPr>
      </w:pPr>
      <w:r>
        <w:t xml:space="preserve">Review the generated PDF, sign it, and submit.</w:t>
      </w:r>
    </w:p>
    <w:p>
      <w:pPr>
        <w:pStyle w:val="MdSpace"/>
        <w:spacing w:before="0" w:after="60"/>
      </w:pPr>
    </w:p>
    <w:p>
      <w:pPr>
        <w:pStyle w:val="MdBlockquote"/>
      </w:pPr>
      <w:r>
        <w:rPr>
          <w:rStyle w:val="MdStrong"/>
          <w:b/>
          <w:bCs/>
        </w:rPr>
        <w:t xml:space="preserve">💡 Pro Tip:</w:t>
      </w:r>
      <w:r>
        <w:t xml:space="preserve"> Use the built-in </w:t>
      </w:r>
      <w:r>
        <w:rPr>
          <w:rStyle w:val="MdStrong"/>
          <w:b/>
          <w:bCs/>
        </w:rPr>
        <w:t xml:space="preserve">UAE Authority Browser</w:t>
      </w:r>
      <w:r>
        <w:t xml:space="preserve">. It lets you search every UAE HSE authority by emirate, sector, or keyword, providing direct links to their specific rules and portals [13]. If you find a broken link, you can report it directly to the admins.</w:t>
      </w: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4.2 Management Review Packs &amp; KPI Dashboards</w:t>
      </w:r>
    </w:p>
    <w:p>
      <w:pPr>
        <w:pStyle w:val="MdParagraph"/>
      </w:pPr>
      <w:r>
        <w:t xml:space="preserve">Directors need to see the health of the project at a glance [7].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Step-by-Step:</w:t>
      </w:r>
    </w:p>
    <w:p>
      <w:pPr>
        <w:pStyle w:val="MdListItem"/>
        <w:numPr>
          <w:ilvl w:val="0"/>
          <w:numId w:val="3"/>
        </w:numPr>
      </w:pPr>
      <w:r>
        <w:t xml:space="preserve">Open your </w:t>
      </w:r>
      <w:r>
        <w:rPr>
          <w:rStyle w:val="MdStrong"/>
          <w:b/>
          <w:bCs/>
        </w:rPr>
        <w:t xml:space="preserve">Live KPI Dashboard</w:t>
      </w:r>
      <w:r>
        <w:t xml:space="preserve"> to view real-time metrics like TRIR (Total Recordable Incident Rate), near-miss ratios, and BBS (Behaviour-Based Safety) Analytics.</w:t>
      </w:r>
    </w:p>
    <w:p>
      <w:pPr>
        <w:pStyle w:val="MdListItem"/>
        <w:numPr>
          <w:ilvl w:val="0"/>
          <w:numId w:val="3"/>
        </w:numPr>
      </w:pPr>
      <w:r>
        <w:t xml:space="preserve">The </w:t>
      </w:r>
      <w:r>
        <w:rPr>
          <w:rStyle w:val="MdStrong"/>
          <w:b/>
          <w:bCs/>
        </w:rPr>
        <w:t xml:space="preserve">AI Anomaly Detection</w:t>
      </w:r>
      <w:r>
        <w:t xml:space="preserve"> feature will flag unusual patterns before they escalate.</w:t>
      </w:r>
    </w:p>
    <w:p>
      <w:pPr>
        <w:pStyle w:val="MdListItem"/>
        <w:numPr>
          <w:ilvl w:val="0"/>
          <w:numId w:val="3"/>
        </w:numPr>
      </w:pPr>
      <w:r>
        <w:t xml:space="preserve">At the end of the month, click </w:t>
      </w:r>
      <w:r>
        <w:rPr>
          <w:rStyle w:val="MdStrong"/>
          <w:b/>
          <w:bCs/>
        </w:rPr>
        <w:t xml:space="preserve">Generate Management Review Pack</w:t>
      </w:r>
      <w:r>
        <w:t xml:space="preserve">.</w:t>
      </w:r>
    </w:p>
    <w:p>
      <w:pPr>
        <w:pStyle w:val="MdListItem"/>
        <w:numPr>
          <w:ilvl w:val="0"/>
          <w:numId w:val="3"/>
        </w:numPr>
      </w:pPr>
      <w:r>
        <w:t xml:space="preserve">The AI will draft the narrative commentary explaining the data trends (e.g., "We saw a spike in near-misses related to working at height in Sector B").</w:t>
      </w:r>
    </w:p>
    <w:p>
      <w:pPr>
        <w:pStyle w:val="MdListItem"/>
        <w:numPr>
          <w:ilvl w:val="0"/>
          <w:numId w:val="3"/>
        </w:numPr>
      </w:pPr>
      <w:r>
        <w:t xml:space="preserve">Review the pack with your Project Director. It is structured around ISO 45001 Clause 9.3, providing ready-made audit evidence.</w:t>
      </w: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4.3 Enterprise-Only Features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ISO 45001 Self-Audits:</w:t>
      </w:r>
      <w:r>
        <w:t xml:space="preserve"> Run internal audits directly in the platform, track findings, and manage CAPAs with automated emergency alerting [13].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MOHRE Validation:</w:t>
      </w:r>
      <w:r>
        <w:t xml:space="preserve"> Bulk import registries via CSV and validate them against MOHRE requirements [13].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Objectives &amp; Targets:</w:t>
      </w:r>
      <w:r>
        <w:t xml:space="preserve"> Track HSE objectives with assigned owners, milestones, and progress evidence.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SAML SSO &amp; SCIM:</w:t>
      </w:r>
      <w:r>
        <w:t xml:space="preserve"> Enterprise-grade single sign-on and automated user provisioning [11].</w:t>
      </w:r>
    </w:p>
    <w:p>
      <w:pPr>
        <w:pStyle w:val="MdSpace"/>
        <w:spacing w:before="0" w:after="60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5.0 The 52-Module Training Library</w:t>
      </w:r>
    </w:p>
    <w:p>
      <w:pPr>
        <w:pStyle w:val="MdParagraph"/>
      </w:pPr>
      <w:r>
        <w:t xml:space="preserve">Site Safety UAE includes a built-in video training library of </w:t>
      </w:r>
      <w:r>
        <w:rPr>
          <w:rStyle w:val="MdStrong"/>
          <w:b/>
          <w:bCs/>
        </w:rPr>
        <w:t xml:space="preserve">52 modules</w:t>
      </w:r>
      <w:r>
        <w:t xml:space="preserve"> tailored specifically to UAE construction regulations (like the Midday Break Law and ADOSH-SF requirements). The first 3 modules are free; the full 52-module library requires Pro or Enterprise [8]. 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How the Library Works:</w:t>
      </w:r>
    </w:p>
    <w:p>
      <w:pPr>
        <w:pStyle w:val="MdListItem"/>
        <w:numPr>
          <w:ilvl w:val="0"/>
          <w:numId w:val="2"/>
        </w:numPr>
      </w:pPr>
      <w:r>
        <w:t xml:space="preserve">Each module includes a narrated video, learning objectives, a 10-question quiz, and a digital acknowledgement form.</w:t>
      </w:r>
    </w:p>
    <w:p>
      <w:pPr>
        <w:pStyle w:val="MdListItem"/>
        <w:numPr>
          <w:ilvl w:val="0"/>
          <w:numId w:val="2"/>
        </w:numPr>
      </w:pPr>
      <w:r>
        <w:t xml:space="preserve">Workers must score 8/10 to pass the quiz.</w:t>
      </w:r>
    </w:p>
    <w:p>
      <w:pPr>
        <w:pStyle w:val="MdListItem"/>
        <w:numPr>
          <w:ilvl w:val="0"/>
          <w:numId w:val="2"/>
        </w:numPr>
      </w:pPr>
      <w:r>
        <w:t xml:space="preserve">Upon passing, the system generates a certificate that is automatically saved to their personnel file in the platform.</w:t>
      </w:r>
    </w:p>
    <w:p>
      <w:pPr>
        <w:pStyle w:val="MdListItem"/>
        <w:numPr>
          <w:ilvl w:val="0"/>
          <w:numId w:val="2"/>
        </w:numPr>
      </w:pPr>
      <w:r>
        <w:t xml:space="preserve">If a worker completes all 10 foundational modules, they unlock a printable "Platform Course-Completion Record" (available in English and Arabic).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How to use it efficiently: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New Workers:</w:t>
      </w:r>
      <w:r>
        <w:t xml:space="preserve"> Before a worker starts, mandate the "Safety Induction for New Workers" module.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Summer Prep:</w:t>
      </w:r>
      <w:r>
        <w:t xml:space="preserve"> In May, mandate that all supervisors watch the "Heat Stress Management" and "Fatigue Management" modules. (You can also download the free companion tool: the </w:t>
      </w:r>
      <w:r>
        <w:rPr>
          <w:rStyle w:val="MdEm"/>
          <w:i/>
          <w:iCs/>
        </w:rPr>
        <w:t xml:space="preserve">Heat Stress Daily Check Form SSU-HS-DC-01</w:t>
      </w:r>
      <w:r>
        <w:t xml:space="preserve"> from the platform [14]).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High-Risk Work:</w:t>
      </w:r>
      <w:r>
        <w:t xml:space="preserve"> Require specific modules like "Confined Space Entry" or "Working at Heights" before issuing permits for those tasks.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Culture Building:</w:t>
      </w:r>
      <w:r>
        <w:t xml:space="preserve"> Use the "BBS &amp; Coaching", "Toolbox Talk Facilitation", and "Near-Miss Reporting Culture" modules to train your supervisors on soft skills.</w:t>
      </w:r>
    </w:p>
    <w:p>
      <w:pPr>
        <w:pStyle w:val="MdSpace"/>
        <w:spacing w:before="0" w:after="60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6.0 Trust &amp; AI Safety Guidelines</w:t>
      </w:r>
    </w:p>
    <w:p>
      <w:pPr>
        <w:pStyle w:val="MdParagraph"/>
      </w:pPr>
      <w:r>
        <w:t xml:space="preserve">Site Safety UAE uses powerful AI to save you time, but you must use it responsibly [9].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The Golden Rules:</w:t>
      </w:r>
    </w:p>
    <w:p>
      <w:pPr>
        <w:pStyle w:val="MdListItem"/>
        <w:numPr>
          <w:ilvl w:val="0"/>
          <w:numId w:val="3"/>
        </w:numPr>
      </w:pPr>
      <w:r>
        <w:rPr>
          <w:rStyle w:val="MdStrong"/>
          <w:b/>
          <w:bCs/>
        </w:rPr>
        <w:t xml:space="preserve">AI is an Assistant, Not the Authority:</w:t>
      </w:r>
      <w:r>
        <w:t xml:space="preserve"> The AI does not make safety decisions. It cannot see your actual site conditions.</w:t>
      </w:r>
    </w:p>
    <w:p>
      <w:pPr>
        <w:pStyle w:val="MdListItem"/>
        <w:numPr>
          <w:ilvl w:val="0"/>
          <w:numId w:val="3"/>
        </w:numPr>
      </w:pPr>
      <w:r>
        <w:rPr>
          <w:rStyle w:val="MdStrong"/>
          <w:b/>
          <w:bCs/>
        </w:rPr>
        <w:t xml:space="preserve">Always Verify:</w:t>
      </w:r>
      <w:r>
        <w:t xml:space="preserve"> Before any AI-generated MSRA, incident description, or warning letter is used on site or sent to a client, it </w:t>
      </w:r>
      <w:r>
        <w:rPr>
          <w:rStyle w:val="MdStrong"/>
          <w:b/>
          <w:bCs/>
        </w:rPr>
        <w:t xml:space="preserve">must</w:t>
      </w:r>
      <w:r>
        <w:t xml:space="preserve"> be reviewed by a qualified human HSE professional.</w:t>
      </w:r>
    </w:p>
    <w:p>
      <w:pPr>
        <w:pStyle w:val="MdListItem"/>
        <w:numPr>
          <w:ilvl w:val="0"/>
          <w:numId w:val="3"/>
        </w:numPr>
      </w:pPr>
      <w:r>
        <w:rPr>
          <w:rStyle w:val="MdStrong"/>
          <w:b/>
          <w:bCs/>
        </w:rPr>
        <w:t xml:space="preserve">Check the Law:</w:t>
      </w:r>
      <w:r>
        <w:t xml:space="preserve"> The AI might miss a recent update to Dubai Municipality or ADOSH-SF regulations. Always rely on your own knowledge of current UAE laws.</w:t>
      </w:r>
    </w:p>
    <w:p>
      <w:pPr>
        <w:pStyle w:val="MdSpace"/>
        <w:spacing w:before="0" w:after="60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7.0 Support &amp; Troubleshooting</w:t>
      </w:r>
    </w:p>
    <w:p>
      <w:pPr>
        <w:pStyle w:val="MdParagraph"/>
      </w:pPr>
      <w:r>
        <w:t xml:space="preserve">Site Safety UAE is a 100% digital, self-serve platform. This keeps the licence affordable by not bundling mandatory on-site consulting.</w:t>
      </w:r>
    </w:p>
    <w:p>
      <w:pPr>
        <w:pStyle w:val="MdSpace"/>
        <w:spacing w:before="0" w:after="60"/>
      </w:pP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Free &amp; Pro Plans:</w:t>
      </w:r>
      <w:r>
        <w:t xml:space="preserve"> Support is email-first. For bug reports, account issues, or guided setup help, email </w:t>
      </w:r>
      <w:r>
        <w:rPr>
          <w:rStyle w:val="MdCode"/>
          <w:u w:val="single"/>
        </w:rPr>
        <w:t xml:space="preserve">info@sitesafetyuae.com</w:t>
      </w:r>
      <w:r>
        <w:t xml:space="preserve"> with your organisation name and a short description. You can also use the "Report an issue" button inside the app [12].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Enterprise Plan:</w:t>
      </w:r>
      <w:r>
        <w:t xml:space="preserve"> You get priority support and a dedicated remote success manager for kick-off calls, quarterly reviews, and rollout guidance over video [11].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Response Times:</w:t>
      </w:r>
      <w:r>
        <w:t xml:space="preserve"> Standard email inquiries are acknowledged within 2 UAE business days [12].</w:t>
      </w:r>
    </w:p>
    <w:p>
      <w:pPr>
        <w:pStyle w:val="MdSpace"/>
        <w:spacing w:before="0" w:after="60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Appendix: Reference Links</w:t>
      </w:r>
    </w:p>
    <w:p>
      <w:pPr>
        <w:pStyle w:val="MdParagraph"/>
      </w:pPr>
      <w:r>
        <w:t xml:space="preserve">[1] Site Safety UAE Homepage: </w:t>
      </w:r>
      <w:hyperlink w:history="1" r:id="rId9llbf3j5o7jqxr6gduwh4">
        <w:r>
          <w:rPr>
            <w:rStyle w:val="MdLink"/>
          </w:rPr>
          <w:t xml:space="preserve">https://sitesafetyuae.com/</w:t>
        </w:r>
      </w:hyperlink>
      <w:r>
        <w:t xml:space="preserve">
[2] Pricing &amp; Tiers: </w:t>
      </w:r>
      <w:hyperlink w:history="1" r:id="rIdq3ixog_dht8mzuaq5wbo8">
        <w:r>
          <w:rPr>
            <w:rStyle w:val="MdLink"/>
          </w:rPr>
          <w:t xml:space="preserve">https://sitesafetyuae.com/pricing</w:t>
        </w:r>
      </w:hyperlink>
      <w:r>
        <w:t xml:space="preserve">
[3] Report an Incident: </w:t>
      </w:r>
      <w:hyperlink w:history="1" r:id="rIdv1wtmqsqbli1rioxmceye">
        <w:r>
          <w:rPr>
            <w:rStyle w:val="MdLink"/>
          </w:rPr>
          <w:t xml:space="preserve">https://sitesafetyuae.com/report</w:t>
        </w:r>
      </w:hyperlink>
      <w:r>
        <w:t xml:space="preserve">
[4] Permits &amp; High-Risk Work: </w:t>
      </w:r>
      <w:hyperlink w:history="1" r:id="rIdzcxeskhdeoycbn5aw-guq">
        <w:r>
          <w:rPr>
            <w:rStyle w:val="MdLink"/>
          </w:rPr>
          <w:t xml:space="preserve">https://sitesafetyuae.com/modules/permits</w:t>
        </w:r>
      </w:hyperlink>
      <w:r>
        <w:t xml:space="preserve">
[5] Documents &amp; Compliance: </w:t>
      </w:r>
      <w:hyperlink w:history="1" r:id="rIdz1k5ytx0n4ktxfdtuhe3b">
        <w:r>
          <w:rPr>
            <w:rStyle w:val="MdLink"/>
          </w:rPr>
          <w:t xml:space="preserve">https://sitesafetyuae.com/modules/documents</w:t>
        </w:r>
      </w:hyperlink>
      <w:r>
        <w:t xml:space="preserve">
[6] Inspections &amp; Incidents: </w:t>
      </w:r>
      <w:hyperlink w:history="1" r:id="rIdadbh2scppn13rtyx5vjth">
        <w:r>
          <w:rPr>
            <w:rStyle w:val="MdLink"/>
          </w:rPr>
          <w:t xml:space="preserve">https://sitesafetyuae.com/modules/inspections</w:t>
        </w:r>
      </w:hyperlink>
      <w:r>
        <w:t xml:space="preserve">
[7] Reporting &amp; Authority: </w:t>
      </w:r>
      <w:hyperlink w:history="1" r:id="rIdfzjkpjvp-b3hpotzq7zf5">
        <w:r>
          <w:rPr>
            <w:rStyle w:val="MdLink"/>
          </w:rPr>
          <w:t xml:space="preserve">https://sitesafetyuae.com/modules/reporting</w:t>
        </w:r>
      </w:hyperlink>
      <w:r>
        <w:t xml:space="preserve">
[8] HSE Training Library: </w:t>
      </w:r>
      <w:hyperlink w:history="1" r:id="rIdytb8-iifklhgkfthvzh2j">
        <w:r>
          <w:rPr>
            <w:rStyle w:val="MdLink"/>
          </w:rPr>
          <w:t xml:space="preserve">https://sitesafetyuae.com/training</w:t>
        </w:r>
      </w:hyperlink>
      <w:r>
        <w:t xml:space="preserve">
[9] Trust &amp; AI Safety: </w:t>
      </w:r>
      <w:hyperlink w:history="1" r:id="rIdlttunivpbpyruneha3fxn">
        <w:r>
          <w:rPr>
            <w:rStyle w:val="MdLink"/>
          </w:rPr>
          <w:t xml:space="preserve">https://sitesafetyuae.com/trust-safety</w:t>
        </w:r>
      </w:hyperlink>
      <w:r>
        <w:t xml:space="preserve">
[10] Platform Overview: </w:t>
      </w:r>
      <w:hyperlink w:history="1" r:id="rIdl39pq-rxqorocrnxrilec">
        <w:r>
          <w:rPr>
            <w:rStyle w:val="MdLink"/>
          </w:rPr>
          <w:t xml:space="preserve">https://sitesafetyuae.com/platform</w:t>
        </w:r>
      </w:hyperlink>
      <w:r>
        <w:t xml:space="preserve">
[11] FAQ: </w:t>
      </w:r>
      <w:hyperlink w:history="1" r:id="rIdhp2qxrge02kq1iklpzsov">
        <w:r>
          <w:rPr>
            <w:rStyle w:val="MdLink"/>
          </w:rPr>
          <w:t xml:space="preserve">https://sitesafetyuae.com/faq</w:t>
        </w:r>
      </w:hyperlink>
      <w:r>
        <w:t xml:space="preserve">
[12] Support SLA: </w:t>
      </w:r>
      <w:hyperlink w:history="1" r:id="rIdvpuhi1yznvmuzx7lcpkpt">
        <w:r>
          <w:rPr>
            <w:rStyle w:val="MdLink"/>
          </w:rPr>
          <w:t xml:space="preserve">https://sitesafetyuae.com/support-sla</w:t>
        </w:r>
      </w:hyperlink>
      <w:r>
        <w:t xml:space="preserve">
[13] Latest Updates: </w:t>
      </w:r>
      <w:hyperlink w:history="1" r:id="rIdlcld-5kycgligbtfhshz-">
        <w:r>
          <w:rPr>
            <w:rStyle w:val="MdLink"/>
          </w:rPr>
          <w:t xml:space="preserve">https://sitesafetyuae.com/updates</w:t>
        </w:r>
      </w:hyperlink>
      <w:r>
        <w:t xml:space="preserve">
[14] Heat Stress Daily Check Form: </w:t>
      </w:r>
      <w:hyperlink w:history="1" r:id="rIddes_x74abxfmslclgyong">
        <w:r>
          <w:rPr>
            <w:rStyle w:val="MdLink"/>
          </w:rPr>
          <w:t xml:space="preserve">https://sitesafetyuae.com/heat-stress-daily-check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"/>
      <w:lvlJc w:val="left"/>
      <w:pPr>
        <w:ind w:left="720" w:hanging="360"/>
      </w:pPr>
    </w:lvl>
    <w:lvl w:ilvl="1" w15:tentative="1">
      <w:start w:val="1"/>
      <w:numFmt w:val="decimal"/>
      <w:lvlText w:val="%1.%2"/>
      <w:lvlJc w:val="left"/>
      <w:pPr>
        <w:ind w:left="1440" w:hanging="360"/>
      </w:pPr>
    </w:lvl>
    <w:lvl w:ilvl="2" w15:tentative="1">
      <w:start w:val="1"/>
      <w:numFmt w:val="decimal"/>
      <w:lvlText w:val="%1.%2.%3"/>
      <w:lvlJc w:val="left"/>
      <w:pPr>
        <w:ind w:left="2160" w:hanging="360"/>
      </w:pPr>
    </w:lvl>
    <w:lvl w:ilvl="3" w15:tentative="1">
      <w:start w:val="1"/>
      <w:numFmt w:val="decimal"/>
      <w:lvlText w:val="%4)"/>
      <w:lvlJc w:val="left"/>
      <w:pPr>
        <w:ind w:left="2880" w:hanging="360"/>
      </w:pPr>
    </w:lvl>
    <w:lvl w:ilvl="4" w15:tentative="1">
      <w:start w:val="1"/>
      <w:numFmt w:val="decimal"/>
      <w:lvlText w:val="%5)"/>
      <w:lvlJc w:val="left"/>
      <w:pPr>
        <w:ind w:left="3600" w:hanging="360"/>
      </w:pPr>
    </w:lvl>
    <w:lvl w:ilvl="5" w15:tentative="1">
      <w:start w:val="1"/>
      <w:numFmt w:val="decimal"/>
      <w:lvlText w:val="%6)"/>
      <w:lvlJc w:val="left"/>
      <w:pPr>
        <w:ind w:left="4320" w:hanging="360"/>
      </w:pPr>
    </w:lvl>
    <w:lvl w:ilvl="6" w15:tentative="1">
      <w:start w:val="1"/>
      <w:numFmt w:val="decimal"/>
      <w:lvlText w:val="%7)"/>
      <w:lvlJc w:val="left"/>
      <w:pPr>
        <w:ind w:left="5040" w:hanging="360"/>
      </w:pPr>
    </w:lvl>
    <w:lvl w:ilvl="7" w15:tentative="1">
      <w:start w:val="1"/>
      <w:numFmt w:val="decimal"/>
      <w:lvlText w:val="%8)"/>
      <w:lvlJc w:val="left"/>
      <w:pPr>
        <w:ind w:left="5760" w:hanging="360"/>
      </w:pPr>
    </w:lvl>
    <w:lvl w:ilvl="8" w15:tentative="1">
      <w:start w:val="1"/>
      <w:numFmt w:val="decimal"/>
      <w:lvlText w:val="%9)"/>
      <w:lvlJc w:val="left"/>
      <w:pPr>
        <w:ind w:left="64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  <w:lvl w:ilvl="2" w15:tentative="1">
      <w:start w:val="1"/>
      <w:numFmt w:val="bullet"/>
      <w:lvlText w:val="•"/>
      <w:lvlJc w:val="left"/>
      <w:pPr>
        <w:ind w:left="2160" w:hanging="360"/>
      </w:pPr>
    </w:lvl>
    <w:lvl w:ilvl="3" w15:tentative="1">
      <w:start w:val="1"/>
      <w:numFmt w:val="bullet"/>
      <w:lvlText w:val="◦"/>
      <w:lvlJc w:val="left"/>
      <w:pPr>
        <w:ind w:left="2880" w:hanging="360"/>
      </w:pPr>
    </w:lvl>
    <w:lvl w:ilvl="4" w15:tentative="1">
      <w:start w:val="1"/>
      <w:numFmt w:val="bullet"/>
      <w:lvlText w:val="•"/>
      <w:lvlJc w:val="left"/>
      <w:pPr>
        <w:ind w:left="3600" w:hanging="360"/>
      </w:pPr>
    </w:lvl>
    <w:lvl w:ilvl="5" w15:tentative="1">
      <w:start w:val="1"/>
      <w:numFmt w:val="bullet"/>
      <w:lvlText w:val="◦"/>
      <w:lvlJc w:val="left"/>
      <w:pPr>
        <w:ind w:left="4320" w:hanging="360"/>
      </w:pPr>
    </w:lvl>
    <w:lvl w:ilvl="6" w15:tentative="1">
      <w:start w:val="1"/>
      <w:numFmt w:val="bullet"/>
      <w:lvlText w:val="•"/>
      <w:lvlJc w:val="left"/>
      <w:pPr>
        <w:ind w:left="504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</w:rPr>
    </w:rPrDefault>
    <w:pPrDefault>
      <w:pPr>
        <w:spacing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 w:color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MdSpace">
    <w:name w:val="MdSpace"/>
    <w:basedOn w:val="Normal"/>
    <w:next w:val="Normal"/>
    <w:qFormat/>
    <w:pPr>
      <w:spacing w:before="0" w:after="0"/>
    </w:pPr>
    <w:rPr>
      <w:sz w:val="12"/>
      <w:szCs w:val="12"/>
    </w:rPr>
  </w:style>
  <w:style w:type="paragraph" w:styleId="MdCode">
    <w:name w:val="MdCode"/>
    <w:basedOn w:val="Normal"/>
    <w:next w:val="Normal"/>
    <w:qFormat/>
    <w:pPr>
      <w:pBdr>
        <w:top w:val="single" w:color="A5A5A5" w:sz="1" w:space="8"/>
        <w:bottom w:val="single" w:color="A5A5A5" w:sz="1" w:space="8"/>
        <w:left w:val="single" w:color="A5A5A5" w:sz="1" w:space="8"/>
        <w:right w:val="single" w:color="A5A5A5" w:sz="1" w:space="8"/>
      </w:pBdr>
      <w:spacing w:before="200" w:after="200"/>
    </w:pPr>
    <w:rPr>
      <w:rFonts w:ascii="Courier New" w:cs="Courier New" w:eastAsia="Courier New" w:hAnsi="Courier New"/>
      <w:color w:val="70AD47"/>
      <w:sz w:val="22"/>
      <w:szCs w:val="22"/>
    </w:rPr>
  </w:style>
  <w:style w:type="paragraph" w:styleId="MdHr">
    <w:name w:val="MdHr"/>
    <w:basedOn w:val="Normal"/>
    <w:next w:val="Normal"/>
    <w:qFormat/>
    <w:pPr>
      <w:pBdr>
        <w:bottom w:val="single" w:color="A5A5A5" w:sz="1" w:space="1"/>
      </w:pBdr>
      <w:spacing w:before="240" w:after="240"/>
    </w:pPr>
  </w:style>
  <w:style w:type="paragraph" w:styleId="MdBlockquote">
    <w:name w:val="MdBlockquote"/>
    <w:basedOn w:val="Normal"/>
    <w:next w:val="Normal"/>
    <w:qFormat/>
    <w:pPr>
      <w:pBdr>
        <w:left w:val="single" w:color="A5A5A5" w:sz="20" w:space="12"/>
      </w:pBdr>
      <w:spacing w:before="200" w:after="200"/>
      <w:ind w:left="360"/>
    </w:pPr>
    <w:rPr>
      <w:i/>
      <w:iCs/>
      <w:color w:val="666666"/>
    </w:rPr>
  </w:style>
  <w:style w:type="paragraph" w:styleId="MdHtml">
    <w:name w:val="MdHtml"/>
    <w:basedOn w:val="Normal"/>
    <w:next w:val="Normal"/>
    <w:qFormat/>
    <w:rPr>
      <w:rFonts w:ascii="Courier New" w:cs="Courier New" w:eastAsia="Courier New" w:hAnsi="Courier New"/>
      <w:color w:val="ED7D31"/>
    </w:rPr>
  </w:style>
  <w:style w:type="paragraph" w:styleId="MdDef">
    <w:name w:val="MdDef"/>
    <w:basedOn w:val="Normal"/>
    <w:next w:val="Normal"/>
    <w:qFormat/>
    <w:pPr>
      <w:ind w:left="720" w:hanging="360"/>
    </w:pPr>
  </w:style>
  <w:style w:type="paragraph" w:styleId="MdParagraph">
    <w:name w:val="MdParagraph"/>
    <w:basedOn w:val="Normal"/>
    <w:next w:val="Normal"/>
    <w:qFormat/>
    <w:pPr>
      <w:spacing w:before="120" w:after="120"/>
    </w:pPr>
  </w:style>
  <w:style w:type="paragraph" w:styleId="MdText">
    <w:name w:val="MdText"/>
    <w:basedOn w:val="Normal"/>
    <w:next w:val="Normal"/>
    <w:qFormat/>
  </w:style>
  <w:style w:type="paragraph" w:styleId="MdFootnote">
    <w:name w:val="MdFootnote"/>
    <w:basedOn w:val="Normal"/>
    <w:next w:val="Normal"/>
    <w:qFormat/>
    <w:rPr>
      <w:vertAlign w:val="superscript"/>
    </w:rPr>
  </w:style>
  <w:style w:type="paragraph" w:styleId="MdListItem">
    <w:name w:val="MdListItem"/>
    <w:basedOn w:val="Normal"/>
    <w:next w:val="Normal"/>
    <w:qFormat/>
    <w:pPr>
      <w:spacing w:before="60" w:after="60"/>
      <w:ind w:left="720" w:hanging="360"/>
    </w:pPr>
  </w:style>
  <w:style w:type="paragraph" w:styleId="MdTable">
    <w:name w:val="MdTable"/>
    <w:basedOn w:val="Normal"/>
    <w:next w:val="Normal"/>
    <w:qFormat/>
    <w:pPr>
      <w:spacing w:before="60" w:after="60"/>
    </w:pPr>
  </w:style>
  <w:style w:type="paragraph" w:styleId="MdTableHeader">
    <w:name w:val="MdTableHeader"/>
    <w:basedOn w:val="Normal"/>
    <w:next w:val="Normal"/>
    <w:qFormat/>
    <w:pPr>
      <w:spacing w:before="60" w:after="60"/>
    </w:pPr>
    <w:rPr>
      <w:b/>
      <w:bCs/>
      <w:sz w:val="22"/>
      <w:szCs w:val="22"/>
    </w:rPr>
  </w:style>
  <w:style w:type="paragraph" w:styleId="MdTableCell">
    <w:name w:val="MdTableCell"/>
    <w:basedOn w:val="Normal"/>
    <w:next w:val="Normal"/>
    <w:qFormat/>
    <w:pPr>
      <w:spacing w:before="40" w:after="40"/>
    </w:pPr>
    <w:rPr>
      <w:sz w:val="20"/>
      <w:szCs w:val="20"/>
    </w:rPr>
  </w:style>
  <w:style w:type="paragraph" w:styleId="MdHeading1">
    <w:name w:val="MdHeading1"/>
    <w:basedOn w:val="Normal"/>
    <w:next w:val="Normal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styleId="MdHeading2">
    <w:name w:val="MdHeading2"/>
    <w:basedOn w:val="Normal"/>
    <w:next w:val="Normal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styleId="MdHeading3">
    <w:name w:val="MdHeading3"/>
    <w:basedOn w:val="Normal"/>
    <w:next w:val="Normal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styleId="MdHeading4">
    <w:name w:val="MdHeading4"/>
    <w:basedOn w:val="Normal"/>
    <w:next w:val="Normal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styleId="MdHeading5">
    <w:name w:val="MdHeading5"/>
    <w:basedOn w:val="Normal"/>
    <w:next w:val="Normal"/>
    <w:qFormat/>
    <w:pPr>
      <w:keepNext/>
      <w:spacing w:before="240" w:after="120"/>
      <w:outlineLvl w:val="4"/>
    </w:pPr>
    <w:rPr>
      <w:b/>
      <w:bCs/>
      <w:i/>
      <w:iCs/>
      <w:sz w:val="24"/>
      <w:szCs w:val="24"/>
    </w:rPr>
  </w:style>
  <w:style w:type="paragraph" w:styleId="MdHeading6">
    <w:name w:val="MdHeading6"/>
    <w:basedOn w:val="Normal"/>
    <w:next w:val="Normal"/>
    <w:qFormat/>
    <w:pPr>
      <w:keepNext/>
      <w:spacing w:before="240" w:after="120"/>
      <w:outlineLvl w:val="5"/>
    </w:pPr>
    <w:rPr>
      <w:b w:val="false"/>
      <w:bCs w:val="false"/>
      <w:i/>
      <w:iCs/>
      <w:sz w:val="24"/>
      <w:szCs w:val="24"/>
    </w:rPr>
  </w:style>
  <w:style w:type="character" w:styleId="MdTag">
    <w:name w:val="MdTag"/>
    <w:basedOn w:val="Normal"/>
    <w:next w:val="Normal"/>
    <w:uiPriority w:val="99"/>
    <w:unhideWhenUsed/>
    <w:qFormat/>
    <w:rPr>
      <w:rFonts w:ascii="Courier New" w:cs="Courier New" w:eastAsia="Courier New" w:hAnsi="Courier New"/>
      <w:color w:val="ED7D31"/>
    </w:rPr>
  </w:style>
  <w:style w:type="character" w:styleId="MdLink">
    <w:name w:val="MdLink"/>
    <w:basedOn w:val="Normal"/>
    <w:next w:val="Normal"/>
    <w:uiPriority w:val="99"/>
    <w:unhideWhenUsed/>
    <w:qFormat/>
    <w:rPr>
      <w:color w:val="0563C1"/>
      <w:u w:val="single"/>
    </w:rPr>
  </w:style>
  <w:style w:type="character" w:styleId="MdStrong">
    <w:name w:val="MdStrong"/>
    <w:basedOn w:val="Normal"/>
    <w:next w:val="Normal"/>
    <w:uiPriority w:val="99"/>
    <w:unhideWhenUsed/>
    <w:qFormat/>
    <w:rPr>
      <w:b/>
      <w:bCs/>
    </w:rPr>
  </w:style>
  <w:style w:type="character" w:styleId="MdEm">
    <w:name w:val="MdEm"/>
    <w:basedOn w:val="Normal"/>
    <w:next w:val="Normal"/>
    <w:uiPriority w:val="99"/>
    <w:unhideWhenUsed/>
    <w:qFormat/>
    <w:rPr>
      <w:i/>
      <w:iCs/>
    </w:rPr>
  </w:style>
  <w:style w:type="character" w:styleId="MdCodespan">
    <w:name w:val="MdCodespan"/>
    <w:basedOn w:val="Normal"/>
    <w:next w:val="Normal"/>
    <w:uiPriority w:val="99"/>
    <w:unhideWhenUsed/>
    <w:qFormat/>
    <w:rPr>
      <w:rFonts w:ascii="Courier New" w:cs="Courier New" w:eastAsia="Courier New" w:hAnsi="Courier New"/>
      <w:color w:val="70AD47"/>
    </w:rPr>
  </w:style>
  <w:style w:type="character" w:styleId="MdDel">
    <w:name w:val="MdDel"/>
    <w:basedOn w:val="Normal"/>
    <w:next w:val="Normal"/>
    <w:uiPriority w:val="99"/>
    <w:unhideWhenUsed/>
    <w:qFormat/>
    <w:rPr>
      <w:strike/>
    </w:rPr>
  </w:style>
  <w:style w:type="character" w:styleId="MdBr">
    <w:name w:val="MdBr"/>
    <w:basedOn w:val="Normal"/>
    <w:next w:val="Normal"/>
    <w:uiPriority w:val="99"/>
    <w:unhideWhenUsed/>
    <w:qFormat/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9llbf3j5o7jqxr6gduwh4" Type="http://schemas.openxmlformats.org/officeDocument/2006/relationships/hyperlink" Target="https://sitesafetyuae.com/" TargetMode="External"/><Relationship Id="rIdq3ixog_dht8mzuaq5wbo8" Type="http://schemas.openxmlformats.org/officeDocument/2006/relationships/hyperlink" Target="https://sitesafetyuae.com/pricing" TargetMode="External"/><Relationship Id="rIdv1wtmqsqbli1rioxmceye" Type="http://schemas.openxmlformats.org/officeDocument/2006/relationships/hyperlink" Target="https://sitesafetyuae.com/report" TargetMode="External"/><Relationship Id="rIdzcxeskhdeoycbn5aw-guq" Type="http://schemas.openxmlformats.org/officeDocument/2006/relationships/hyperlink" Target="https://sitesafetyuae.com/modules/permits" TargetMode="External"/><Relationship Id="rIdz1k5ytx0n4ktxfdtuhe3b" Type="http://schemas.openxmlformats.org/officeDocument/2006/relationships/hyperlink" Target="https://sitesafetyuae.com/modules/documents" TargetMode="External"/><Relationship Id="rIdadbh2scppn13rtyx5vjth" Type="http://schemas.openxmlformats.org/officeDocument/2006/relationships/hyperlink" Target="https://sitesafetyuae.com/modules/inspections" TargetMode="External"/><Relationship Id="rIdfzjkpjvp-b3hpotzq7zf5" Type="http://schemas.openxmlformats.org/officeDocument/2006/relationships/hyperlink" Target="https://sitesafetyuae.com/modules/reporting" TargetMode="External"/><Relationship Id="rIdytb8-iifklhgkfthvzh2j" Type="http://schemas.openxmlformats.org/officeDocument/2006/relationships/hyperlink" Target="https://sitesafetyuae.com/training" TargetMode="External"/><Relationship Id="rIdlttunivpbpyruneha3fxn" Type="http://schemas.openxmlformats.org/officeDocument/2006/relationships/hyperlink" Target="https://sitesafetyuae.com/trust-safety" TargetMode="External"/><Relationship Id="rIdl39pq-rxqorocrnxrilec" Type="http://schemas.openxmlformats.org/officeDocument/2006/relationships/hyperlink" Target="https://sitesafetyuae.com/platform" TargetMode="External"/><Relationship Id="rIdhp2qxrge02kq1iklpzsov" Type="http://schemas.openxmlformats.org/officeDocument/2006/relationships/hyperlink" Target="https://sitesafetyuae.com/faq" TargetMode="External"/><Relationship Id="rIdvpuhi1yznvmuzx7lcpkpt" Type="http://schemas.openxmlformats.org/officeDocument/2006/relationships/hyperlink" Target="https://sitesafetyuae.com/support-sla" TargetMode="External"/><Relationship Id="rIdlcld-5kycgligbtfhshz-" Type="http://schemas.openxmlformats.org/officeDocument/2006/relationships/hyperlink" Target="https://sitesafetyuae.com/updates" TargetMode="External"/><Relationship Id="rIddes_x74abxfmslclgyong" Type="http://schemas.openxmlformats.org/officeDocument/2006/relationships/hyperlink" Target="https://sitesafetyuae.com/heat-stress-daily-check" TargetMode="External"/><Relationship Id="rId20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Document</dc:title>
  <dc:creator>md2docx converter</dc:creator>
  <dc:description>Converted from Markdown</dc:description>
  <cp:lastModifiedBy>Un-named</cp:lastModifiedBy>
  <cp:revision>1</cp:revision>
  <dcterms:created xsi:type="dcterms:W3CDTF">2026-07-27T03:50:43.709Z</dcterms:created>
  <dcterms:modified xsi:type="dcterms:W3CDTF">2026-07-27T03:50:43.709Z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